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rPr>
          <w:b/>
          <w:sz w:val="72"/>
          <w:szCs w:val="72"/>
        </w:rPr>
      </w:pPr>
      <w:r>
        <w:rPr>
          <w:rFonts w:hint="eastAsia" w:ascii="微软雅黑" w:hAnsi="微软雅黑"/>
          <w:b/>
          <w:sz w:val="72"/>
          <w:szCs w:val="72"/>
          <w:lang w:val="en-US" w:eastAsia="zh-CN"/>
        </w:rPr>
        <w:t>SZY</w:t>
      </w:r>
      <w:r>
        <w:rPr>
          <w:rFonts w:ascii="微软雅黑" w:hAnsi="微软雅黑"/>
          <w:b/>
          <w:sz w:val="72"/>
          <w:szCs w:val="72"/>
        </w:rPr>
        <w:t>-B106</w:t>
      </w:r>
      <w:r>
        <w:rPr>
          <w:rFonts w:hint="eastAsia"/>
          <w:b/>
          <w:sz w:val="72"/>
          <w:szCs w:val="72"/>
        </w:rPr>
        <w:t>数码显微镜</w:t>
      </w:r>
    </w:p>
    <w:p>
      <w:pPr>
        <w:spacing w:line="220" w:lineRule="atLeast"/>
        <w:jc w:val="center"/>
      </w:pPr>
      <w:r>
        <w:drawing>
          <wp:inline distT="0" distB="0" distL="0" distR="0">
            <wp:extent cx="3630295" cy="5379720"/>
            <wp:effectExtent l="19050" t="0" r="7663" b="0"/>
            <wp:docPr id="1" name="图片 0" descr="微信图片_2020121709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微信图片_20201217092206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851" cy="539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使用说明书</w:t>
      </w:r>
    </w:p>
    <w:p/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恭喜您购买了</w:t>
      </w:r>
      <w:r>
        <w:rPr>
          <w:rFonts w:hint="eastAsia" w:ascii="微软雅黑" w:hAnsi="微软雅黑"/>
          <w:sz w:val="21"/>
          <w:szCs w:val="21"/>
          <w:lang w:val="en-US" w:eastAsia="zh-CN"/>
        </w:rPr>
        <w:t>SZY</w:t>
      </w:r>
      <w:r>
        <w:rPr>
          <w:rFonts w:ascii="微软雅黑" w:hAnsi="微软雅黑"/>
          <w:sz w:val="21"/>
          <w:szCs w:val="21"/>
        </w:rPr>
        <w:t>-B106</w:t>
      </w:r>
      <w:r>
        <w:rPr>
          <w:rFonts w:hint="eastAsia" w:ascii="微软雅黑" w:hAnsi="微软雅黑"/>
          <w:sz w:val="21"/>
          <w:szCs w:val="21"/>
        </w:rPr>
        <w:t>数码显微镜。</w:t>
      </w:r>
    </w:p>
    <w:p>
      <w:pPr>
        <w:rPr>
          <w:rFonts w:ascii="微软雅黑" w:hAnsi="微软雅黑"/>
          <w:sz w:val="21"/>
          <w:szCs w:val="21"/>
        </w:rPr>
      </w:pP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在您使用</w:t>
      </w:r>
      <w:r>
        <w:rPr>
          <w:rFonts w:hint="eastAsia" w:ascii="微软雅黑" w:hAnsi="微软雅黑"/>
          <w:sz w:val="21"/>
          <w:szCs w:val="21"/>
          <w:lang w:val="en-US" w:eastAsia="zh-CN"/>
        </w:rPr>
        <w:t>SZY</w:t>
      </w:r>
      <w:r>
        <w:rPr>
          <w:rFonts w:ascii="微软雅黑" w:hAnsi="微软雅黑"/>
          <w:sz w:val="21"/>
          <w:szCs w:val="21"/>
        </w:rPr>
        <w:t>-B106</w:t>
      </w:r>
      <w:r>
        <w:rPr>
          <w:rFonts w:hint="eastAsia" w:ascii="微软雅黑" w:hAnsi="微软雅黑"/>
          <w:sz w:val="21"/>
          <w:szCs w:val="21"/>
        </w:rPr>
        <w:t>数码显微镜之前，请您仔细阅读本使用说明书。它可以指导您正确地操作仪器，免除错误操作造成仪器损坏，同时帮助您获得最佳观察效果。</w:t>
      </w:r>
    </w:p>
    <w:p/>
    <w:sdt>
      <w:sdtPr>
        <w:rPr>
          <w:rFonts w:ascii="Tahoma" w:hAnsi="Tahoma" w:eastAsia="微软雅黑" w:cstheme="minorBidi"/>
          <w:b w:val="0"/>
          <w:bCs w:val="0"/>
          <w:color w:val="auto"/>
          <w:sz w:val="22"/>
          <w:szCs w:val="22"/>
          <w:lang w:val="zh-CN"/>
        </w:rPr>
        <w:id w:val="3835145"/>
        <w:docPartObj>
          <w:docPartGallery w:val="Table of Contents"/>
          <w:docPartUnique/>
        </w:docPartObj>
      </w:sdtPr>
      <w:sdtEndPr>
        <w:rPr>
          <w:rFonts w:ascii="Tahoma" w:hAnsi="Tahoma" w:eastAsia="微软雅黑" w:cstheme="minorBidi"/>
          <w:b w:val="0"/>
          <w:bCs w:val="0"/>
          <w:color w:val="auto"/>
          <w:sz w:val="22"/>
          <w:szCs w:val="22"/>
          <w:lang w:val="en-US"/>
        </w:rPr>
      </w:sdtEndPr>
      <w:sdtContent>
        <w:p>
          <w:pPr>
            <w:pStyle w:val="18"/>
            <w:jc w:val="center"/>
          </w:pPr>
          <w:r>
            <w:rPr>
              <w:rFonts w:ascii="微软雅黑" w:hAnsi="微软雅黑" w:eastAsia="微软雅黑"/>
              <w:sz w:val="36"/>
              <w:szCs w:val="36"/>
              <w:lang w:val="zh-CN"/>
            </w:rPr>
            <w:t>目录</w:t>
          </w:r>
        </w:p>
        <w:p>
          <w:pPr>
            <w:pStyle w:val="7"/>
            <w:tabs>
              <w:tab w:val="right" w:leader="dot" w:pos="8296"/>
            </w:tabs>
            <w:ind w:left="440"/>
            <w:rPr>
              <w:rFonts w:asciiTheme="minorHAnsi" w:hAnsiTheme="minorHAnsi" w:eastAsiaTheme="minorEastAsia"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"_Toc65657301" </w:instrText>
          </w:r>
          <w:r>
            <w:fldChar w:fldCharType="separate"/>
          </w:r>
          <w:r>
            <w:rPr>
              <w:rStyle w:val="10"/>
              <w:rFonts w:ascii="微软雅黑" w:hAnsi="微软雅黑"/>
              <w:smallCaps/>
              <w:spacing w:val="5"/>
            </w:rPr>
            <w:t>1</w:t>
          </w:r>
          <w:r>
            <w:rPr>
              <w:rStyle w:val="10"/>
              <w:rFonts w:hint="eastAsia" w:ascii="微软雅黑" w:hAnsi="微软雅黑"/>
              <w:smallCaps/>
              <w:spacing w:val="5"/>
            </w:rPr>
            <w:t>、安全注意事项</w:t>
          </w:r>
          <w:r>
            <w:tab/>
          </w:r>
          <w:r>
            <w:fldChar w:fldCharType="begin"/>
          </w:r>
          <w:r>
            <w:instrText xml:space="preserve"> PAGEREF _Toc65657301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ind w:left="440"/>
            <w:rPr>
              <w:rFonts w:asciiTheme="minorHAnsi" w:hAnsiTheme="minorHAnsi" w:eastAsiaTheme="minorEastAsia"/>
              <w:kern w:val="2"/>
              <w:sz w:val="21"/>
            </w:rPr>
          </w:pPr>
          <w:r>
            <w:fldChar w:fldCharType="begin"/>
          </w:r>
          <w:r>
            <w:instrText xml:space="preserve"> HYPERLINK \l "_Toc65657302" </w:instrText>
          </w:r>
          <w:r>
            <w:fldChar w:fldCharType="separate"/>
          </w:r>
          <w:r>
            <w:rPr>
              <w:rStyle w:val="10"/>
              <w:rFonts w:ascii="微软雅黑" w:hAnsi="微软雅黑"/>
              <w:smallCaps/>
              <w:spacing w:val="5"/>
            </w:rPr>
            <w:t>2</w:t>
          </w:r>
          <w:r>
            <w:rPr>
              <w:rStyle w:val="10"/>
              <w:rFonts w:hint="eastAsia" w:ascii="微软雅黑" w:hAnsi="微软雅黑"/>
              <w:smallCaps/>
              <w:spacing w:val="5"/>
            </w:rPr>
            <w:t>、维护和保养</w:t>
          </w:r>
          <w:r>
            <w:tab/>
          </w:r>
          <w:r>
            <w:fldChar w:fldCharType="begin"/>
          </w:r>
          <w:r>
            <w:instrText xml:space="preserve"> PAGEREF _Toc65657302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ind w:left="440"/>
            <w:rPr>
              <w:rFonts w:asciiTheme="minorHAnsi" w:hAnsiTheme="minorHAnsi" w:eastAsiaTheme="minorEastAsia"/>
              <w:kern w:val="2"/>
              <w:sz w:val="21"/>
            </w:rPr>
          </w:pPr>
          <w:r>
            <w:fldChar w:fldCharType="begin"/>
          </w:r>
          <w:r>
            <w:instrText xml:space="preserve"> HYPERLINK \l "_Toc65657303" </w:instrText>
          </w:r>
          <w:r>
            <w:fldChar w:fldCharType="separate"/>
          </w:r>
          <w:r>
            <w:rPr>
              <w:rStyle w:val="10"/>
              <w:rFonts w:ascii="微软雅黑" w:hAnsi="微软雅黑"/>
              <w:smallCaps/>
              <w:spacing w:val="5"/>
            </w:rPr>
            <w:t>3</w:t>
          </w:r>
          <w:r>
            <w:rPr>
              <w:rStyle w:val="10"/>
              <w:rFonts w:hint="eastAsia" w:ascii="微软雅黑" w:hAnsi="微软雅黑"/>
              <w:smallCaps/>
              <w:spacing w:val="5"/>
            </w:rPr>
            <w:t>、运输及存放</w:t>
          </w:r>
          <w:r>
            <w:tab/>
          </w:r>
          <w:r>
            <w:fldChar w:fldCharType="begin"/>
          </w:r>
          <w:r>
            <w:instrText xml:space="preserve"> PAGEREF _Toc65657303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ind w:left="440"/>
            <w:rPr>
              <w:rFonts w:asciiTheme="minorHAnsi" w:hAnsiTheme="minorHAnsi" w:eastAsiaTheme="minorEastAsia"/>
              <w:kern w:val="2"/>
              <w:sz w:val="21"/>
            </w:rPr>
          </w:pPr>
          <w:r>
            <w:fldChar w:fldCharType="begin"/>
          </w:r>
          <w:r>
            <w:instrText xml:space="preserve"> HYPERLINK \l "_Toc65657304" </w:instrText>
          </w:r>
          <w:r>
            <w:fldChar w:fldCharType="separate"/>
          </w:r>
          <w:r>
            <w:rPr>
              <w:rStyle w:val="10"/>
              <w:rFonts w:ascii="微软雅黑" w:hAnsi="微软雅黑"/>
              <w:smallCaps/>
              <w:spacing w:val="5"/>
            </w:rPr>
            <w:t>4</w:t>
          </w:r>
          <w:r>
            <w:rPr>
              <w:rStyle w:val="10"/>
              <w:rFonts w:hint="eastAsia" w:ascii="微软雅黑" w:hAnsi="微软雅黑"/>
              <w:smallCaps/>
              <w:spacing w:val="5"/>
            </w:rPr>
            <w:t>、产品使用领域</w:t>
          </w:r>
          <w:r>
            <w:tab/>
          </w:r>
          <w:r>
            <w:fldChar w:fldCharType="begin"/>
          </w:r>
          <w:r>
            <w:instrText xml:space="preserve"> PAGEREF _Toc65657304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ind w:left="440"/>
            <w:rPr>
              <w:rFonts w:asciiTheme="minorHAnsi" w:hAnsiTheme="minorHAnsi" w:eastAsiaTheme="minorEastAsia"/>
              <w:kern w:val="2"/>
              <w:sz w:val="21"/>
            </w:rPr>
          </w:pPr>
          <w:r>
            <w:fldChar w:fldCharType="begin"/>
          </w:r>
          <w:r>
            <w:instrText xml:space="preserve"> HYPERLINK \l "_Toc65657305" </w:instrText>
          </w:r>
          <w:r>
            <w:fldChar w:fldCharType="separate"/>
          </w:r>
          <w:r>
            <w:rPr>
              <w:rStyle w:val="10"/>
              <w:rFonts w:ascii="微软雅黑" w:hAnsi="微软雅黑"/>
              <w:smallCaps/>
              <w:spacing w:val="5"/>
            </w:rPr>
            <w:t>5</w:t>
          </w:r>
          <w:r>
            <w:rPr>
              <w:rStyle w:val="10"/>
              <w:rFonts w:hint="eastAsia" w:ascii="微软雅黑" w:hAnsi="微软雅黑"/>
              <w:smallCaps/>
              <w:spacing w:val="5"/>
            </w:rPr>
            <w:t>、技术参数</w:t>
          </w:r>
          <w:r>
            <w:tab/>
          </w:r>
          <w:r>
            <w:fldChar w:fldCharType="begin"/>
          </w:r>
          <w:r>
            <w:instrText xml:space="preserve"> PAGEREF _Toc65657305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ind w:left="440"/>
            <w:rPr>
              <w:rFonts w:asciiTheme="minorHAnsi" w:hAnsiTheme="minorHAnsi" w:eastAsiaTheme="minorEastAsia"/>
              <w:kern w:val="2"/>
              <w:sz w:val="21"/>
            </w:rPr>
          </w:pPr>
          <w:r>
            <w:fldChar w:fldCharType="begin"/>
          </w:r>
          <w:r>
            <w:instrText xml:space="preserve"> HYPERLINK \l "_Toc65657306" </w:instrText>
          </w:r>
          <w:r>
            <w:fldChar w:fldCharType="separate"/>
          </w:r>
          <w:r>
            <w:rPr>
              <w:rStyle w:val="10"/>
              <w:rFonts w:ascii="微软雅黑" w:hAnsi="微软雅黑"/>
              <w:smallCaps/>
              <w:spacing w:val="5"/>
            </w:rPr>
            <w:t>6</w:t>
          </w:r>
          <w:r>
            <w:rPr>
              <w:rStyle w:val="10"/>
              <w:rFonts w:hint="eastAsia" w:ascii="微软雅黑" w:hAnsi="微软雅黑"/>
              <w:smallCaps/>
              <w:spacing w:val="5"/>
            </w:rPr>
            <w:t>、安装说明</w:t>
          </w:r>
          <w:r>
            <w:tab/>
          </w:r>
          <w:r>
            <w:fldChar w:fldCharType="begin"/>
          </w:r>
          <w:r>
            <w:instrText xml:space="preserve"> PAGEREF _Toc65657306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ind w:left="440"/>
            <w:rPr>
              <w:rFonts w:asciiTheme="minorHAnsi" w:hAnsiTheme="minorHAnsi" w:eastAsiaTheme="minorEastAsia"/>
              <w:kern w:val="2"/>
              <w:sz w:val="21"/>
            </w:rPr>
          </w:pPr>
          <w:r>
            <w:fldChar w:fldCharType="begin"/>
          </w:r>
          <w:r>
            <w:instrText xml:space="preserve"> HYPERLINK \l "_Toc65657307" </w:instrText>
          </w:r>
          <w:r>
            <w:fldChar w:fldCharType="separate"/>
          </w:r>
          <w:r>
            <w:rPr>
              <w:rStyle w:val="10"/>
              <w:rFonts w:ascii="微软雅黑" w:hAnsi="微软雅黑"/>
              <w:smallCaps/>
              <w:spacing w:val="5"/>
            </w:rPr>
            <w:t>7</w:t>
          </w:r>
          <w:r>
            <w:rPr>
              <w:rStyle w:val="10"/>
              <w:rFonts w:hint="eastAsia" w:ascii="微软雅黑" w:hAnsi="微软雅黑"/>
              <w:smallCaps/>
              <w:spacing w:val="5"/>
            </w:rPr>
            <w:t>、调节与操作</w:t>
          </w:r>
          <w:r>
            <w:tab/>
          </w:r>
          <w:r>
            <w:fldChar w:fldCharType="begin"/>
          </w:r>
          <w:r>
            <w:instrText xml:space="preserve"> PAGEREF _Toc65657307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ind w:left="440"/>
            <w:rPr>
              <w:rFonts w:asciiTheme="minorHAnsi" w:hAnsiTheme="minorHAnsi" w:eastAsiaTheme="minorEastAsia"/>
              <w:kern w:val="2"/>
              <w:sz w:val="21"/>
            </w:rPr>
          </w:pPr>
          <w:r>
            <w:fldChar w:fldCharType="begin"/>
          </w:r>
          <w:r>
            <w:instrText xml:space="preserve"> HYPERLINK \l "_Toc65657308" </w:instrText>
          </w:r>
          <w:r>
            <w:fldChar w:fldCharType="separate"/>
          </w:r>
          <w:r>
            <w:rPr>
              <w:rStyle w:val="10"/>
              <w:rFonts w:ascii="微软雅黑" w:hAnsi="微软雅黑"/>
              <w:smallCaps/>
              <w:spacing w:val="5"/>
            </w:rPr>
            <w:t>8</w:t>
          </w:r>
          <w:r>
            <w:rPr>
              <w:rStyle w:val="10"/>
              <w:rFonts w:hint="eastAsia" w:ascii="微软雅黑" w:hAnsi="微软雅黑"/>
              <w:smallCaps/>
              <w:spacing w:val="5"/>
            </w:rPr>
            <w:t>、常见故障及排除方法</w:t>
          </w:r>
          <w:r>
            <w:tab/>
          </w:r>
          <w:r>
            <w:fldChar w:fldCharType="begin"/>
          </w:r>
          <w:r>
            <w:instrText xml:space="preserve"> PAGEREF _Toc65657308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ind w:left="440"/>
            <w:rPr>
              <w:rFonts w:asciiTheme="minorHAnsi" w:hAnsiTheme="minorHAnsi" w:eastAsiaTheme="minorEastAsia"/>
              <w:kern w:val="2"/>
              <w:sz w:val="21"/>
            </w:rPr>
          </w:pPr>
          <w:r>
            <w:fldChar w:fldCharType="begin"/>
          </w:r>
          <w:r>
            <w:instrText xml:space="preserve"> HYPERLINK \l "_Toc65657309" </w:instrText>
          </w:r>
          <w:r>
            <w:fldChar w:fldCharType="separate"/>
          </w:r>
          <w:r>
            <w:rPr>
              <w:rStyle w:val="10"/>
              <w:rFonts w:ascii="微软雅黑" w:hAnsi="微软雅黑"/>
              <w:smallCaps/>
              <w:spacing w:val="5"/>
            </w:rPr>
            <w:t>9</w:t>
          </w:r>
          <w:r>
            <w:rPr>
              <w:rStyle w:val="10"/>
              <w:rFonts w:hint="eastAsia" w:ascii="微软雅黑" w:hAnsi="微软雅黑"/>
              <w:smallCaps/>
              <w:spacing w:val="5"/>
            </w:rPr>
            <w:t>、免责声明</w:t>
          </w:r>
          <w:r>
            <w:tab/>
          </w:r>
          <w:r>
            <w:fldChar w:fldCharType="begin"/>
          </w:r>
          <w:r>
            <w:instrText xml:space="preserve"> PAGEREF _Toc65657309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/>
    <w:p/>
    <w:p/>
    <w:p/>
    <w:p/>
    <w:p/>
    <w:p/>
    <w:p/>
    <w:p/>
    <w:p/>
    <w:p/>
    <w:p/>
    <w:p/>
    <w:p>
      <w:pPr>
        <w:pStyle w:val="6"/>
        <w:rPr>
          <w:rStyle w:val="14"/>
          <w:b w:val="0"/>
          <w:bCs w:val="0"/>
        </w:rPr>
      </w:pPr>
    </w:p>
    <w:p>
      <w:pPr>
        <w:pStyle w:val="6"/>
        <w:rPr>
          <w:rStyle w:val="14"/>
          <w:rFonts w:ascii="微软雅黑" w:hAnsi="微软雅黑" w:eastAsia="微软雅黑"/>
          <w:b/>
          <w:bCs w:val="0"/>
          <w:sz w:val="24"/>
          <w:szCs w:val="24"/>
        </w:rPr>
      </w:pPr>
      <w:bookmarkStart w:id="0" w:name="_Toc65657301"/>
      <w:r>
        <w:rPr>
          <w:rStyle w:val="14"/>
          <w:rFonts w:hint="eastAsia" w:ascii="微软雅黑" w:hAnsi="微软雅黑" w:eastAsia="微软雅黑"/>
          <w:b/>
          <w:bCs w:val="0"/>
          <w:sz w:val="24"/>
          <w:szCs w:val="24"/>
        </w:rPr>
        <w:t>1、安全注意事项</w:t>
      </w:r>
      <w:bookmarkEnd w:id="0"/>
    </w:p>
    <w:p>
      <w:pPr>
        <w:spacing w:line="220" w:lineRule="atLeas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1.1开箱时应小心，防止镜头等附件跌落损坏。</w:t>
      </w:r>
    </w:p>
    <w:p>
      <w:pPr>
        <w:spacing w:line="220" w:lineRule="atLeas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1.2避免将显微镜放置在有阳光直射、高温或高湿、多尘、以及容易受到强烈震动的地方，确保载物台平坦、水平并足够坚固。</w:t>
      </w:r>
    </w:p>
    <w:p>
      <w:pPr>
        <w:spacing w:line="220" w:lineRule="atLeas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1.3需要移动显微镜时，用一手提提手盖，另一手托机架底部。</w:t>
      </w:r>
    </w:p>
    <w:p>
      <w:pPr>
        <w:spacing w:line="220" w:lineRule="atLeas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1.4将本机接地，避免雷击。</w:t>
      </w:r>
    </w:p>
    <w:p>
      <w:pPr>
        <w:spacing w:line="220" w:lineRule="atLeas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1.5为保证安全，更换卤素灯或保险丝前，一定要确保主开关已处于“O”（断开）状态，并且切断电源。指定灯泡： 1W的SLED灯或者6V20W卤素灯。</w:t>
      </w:r>
    </w:p>
    <w:p>
      <w:pPr>
        <w:spacing w:line="220" w:lineRule="atLeas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1.6输入电压检查：显微镜背部标明的输入电压与供电电压一致，否则将会导致显微镜严重损坏。</w:t>
      </w:r>
    </w:p>
    <w:p>
      <w:pPr>
        <w:spacing w:line="220" w:lineRule="atLeas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1.7使用本公司提供的专用电线。</w:t>
      </w:r>
    </w:p>
    <w:p>
      <w:pPr>
        <w:spacing w:line="220" w:lineRule="atLeas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1.8本产品电器照明应作为电子废弃物单独进行废弃。</w:t>
      </w:r>
    </w:p>
    <w:p>
      <w:pPr>
        <w:spacing w:line="220" w:lineRule="atLeast"/>
      </w:pPr>
    </w:p>
    <w:p>
      <w:pPr>
        <w:pStyle w:val="6"/>
        <w:rPr>
          <w:rStyle w:val="14"/>
          <w:rFonts w:ascii="微软雅黑" w:hAnsi="微软雅黑" w:eastAsia="微软雅黑"/>
          <w:b/>
          <w:bCs w:val="0"/>
          <w:sz w:val="24"/>
          <w:szCs w:val="24"/>
        </w:rPr>
      </w:pPr>
      <w:bookmarkStart w:id="1" w:name="_Toc65657302"/>
      <w:r>
        <w:rPr>
          <w:rStyle w:val="14"/>
          <w:rFonts w:hint="eastAsia" w:ascii="微软雅黑" w:hAnsi="微软雅黑" w:eastAsia="微软雅黑"/>
          <w:b/>
          <w:bCs w:val="0"/>
          <w:sz w:val="24"/>
          <w:szCs w:val="24"/>
        </w:rPr>
        <w:t>2、维护和保养</w:t>
      </w:r>
      <w:bookmarkEnd w:id="1"/>
    </w:p>
    <w:p>
      <w:pPr>
        <w:spacing w:line="220" w:lineRule="atLeas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2.1所有镜头均经装校调整，请勿自行拆装。</w:t>
      </w:r>
    </w:p>
    <w:p>
      <w:pPr>
        <w:spacing w:line="220" w:lineRule="atLeas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2.2物镜转换器和粗微动调焦机构，结构精密，请不要轻易拆装。</w:t>
      </w:r>
    </w:p>
    <w:p>
      <w:pPr>
        <w:spacing w:line="220" w:lineRule="atLeas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2.3仪器应保持清洁，经常清除灰尘，清洁时应特别注意不要污染光学件。</w:t>
      </w:r>
    </w:p>
    <w:p>
      <w:pPr>
        <w:spacing w:line="220" w:lineRule="atLeas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2.4透镜的污迹如指纹、油脂可使用干净的软棉布、镜头纸或纱布蘸上无水（纯）酒精（乙醇）或二甲苯轻轻拭去。（乙醚和酒精都是极易燃的，注意不要将这些化学物品接近明火。尽量在通风良好的房间使用这些化学品。）</w:t>
      </w:r>
    </w:p>
    <w:p>
      <w:pPr>
        <w:spacing w:line="220" w:lineRule="atLeas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2.5不要使用有机溶剂擦拭显微镜的非光学件，如要清洁，请使用中性去污剂。</w:t>
      </w:r>
    </w:p>
    <w:p>
      <w:pPr>
        <w:spacing w:line="220" w:lineRule="atLeas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2.6使用时，如果显微镜被液体沾湿，应立即切断电源，并擦干。</w:t>
      </w:r>
    </w:p>
    <w:p>
      <w:pPr>
        <w:spacing w:line="220" w:lineRule="atLeas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2.7千万不要拆开显微镜的任何部件，这样会影响显微镜的功能或降低显微镜的性能。</w:t>
      </w:r>
    </w:p>
    <w:p>
      <w:pPr>
        <w:spacing w:line="220" w:lineRule="atLeas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2.8仪器应放置在阴凉，干燥的地方，不使用显微镜时，应用防尘罩罩上。罩上前，一定要等灯室冷却下来。</w:t>
      </w:r>
    </w:p>
    <w:p>
      <w:pPr>
        <w:spacing w:line="220" w:lineRule="atLeast"/>
        <w:rPr>
          <w:rFonts w:ascii="微软雅黑" w:hAnsi="微软雅黑"/>
          <w:sz w:val="21"/>
          <w:szCs w:val="21"/>
        </w:rPr>
      </w:pPr>
    </w:p>
    <w:p>
      <w:pPr>
        <w:pStyle w:val="6"/>
        <w:rPr>
          <w:rStyle w:val="14"/>
          <w:rFonts w:ascii="微软雅黑" w:hAnsi="微软雅黑" w:eastAsia="微软雅黑"/>
          <w:b/>
          <w:bCs w:val="0"/>
          <w:sz w:val="24"/>
          <w:szCs w:val="24"/>
        </w:rPr>
      </w:pPr>
      <w:bookmarkStart w:id="2" w:name="_Toc509311765"/>
    </w:p>
    <w:bookmarkEnd w:id="2"/>
    <w:p>
      <w:pPr>
        <w:pStyle w:val="6"/>
        <w:rPr>
          <w:rStyle w:val="14"/>
          <w:rFonts w:ascii="微软雅黑" w:hAnsi="微软雅黑" w:eastAsia="微软雅黑"/>
          <w:b/>
          <w:bCs w:val="0"/>
          <w:sz w:val="24"/>
          <w:szCs w:val="24"/>
        </w:rPr>
      </w:pPr>
      <w:bookmarkStart w:id="3" w:name="_Toc509311771"/>
      <w:bookmarkStart w:id="4" w:name="_Toc65657303"/>
      <w:r>
        <w:rPr>
          <w:rStyle w:val="14"/>
          <w:rFonts w:hint="eastAsia" w:ascii="微软雅黑" w:hAnsi="微软雅黑" w:eastAsia="微软雅黑"/>
          <w:b/>
          <w:bCs w:val="0"/>
          <w:sz w:val="24"/>
          <w:szCs w:val="24"/>
        </w:rPr>
        <w:t>3、运输及存放</w:t>
      </w:r>
      <w:bookmarkEnd w:id="3"/>
      <w:bookmarkEnd w:id="4"/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3.1仪器需用有遮蔽的运输工具运送，在运送过程中需防止剧烈振动与碰撞。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3.2仪器应存放在有遮蔽的场所，周围无酸性气体、碱、有机溶剂及其他有害物质；存放的环境温度为0℃～45℃，相对湿度为30﹪～75﹪，大气压力范围为500hPa～1060hPa 。</w:t>
      </w:r>
    </w:p>
    <w:p>
      <w:pPr>
        <w:rPr>
          <w:rFonts w:ascii="微软雅黑" w:hAnsi="微软雅黑"/>
          <w:sz w:val="21"/>
          <w:szCs w:val="21"/>
        </w:rPr>
      </w:pPr>
    </w:p>
    <w:p>
      <w:pPr>
        <w:pStyle w:val="6"/>
        <w:rPr>
          <w:rStyle w:val="14"/>
          <w:rFonts w:ascii="微软雅黑" w:hAnsi="微软雅黑" w:eastAsia="微软雅黑"/>
          <w:b/>
          <w:bCs w:val="0"/>
          <w:sz w:val="24"/>
          <w:szCs w:val="24"/>
        </w:rPr>
      </w:pPr>
      <w:bookmarkStart w:id="5" w:name="_Toc65657304"/>
      <w:r>
        <w:rPr>
          <w:rStyle w:val="14"/>
          <w:rFonts w:hint="eastAsia" w:ascii="微软雅黑" w:hAnsi="微软雅黑" w:eastAsia="微软雅黑"/>
          <w:b/>
          <w:bCs w:val="0"/>
          <w:sz w:val="24"/>
          <w:szCs w:val="24"/>
        </w:rPr>
        <w:t>4、产品使用领域</w:t>
      </w:r>
      <w:bookmarkEnd w:id="5"/>
    </w:p>
    <w:p>
      <w:pPr>
        <w:ind w:firstLine="315" w:firstLineChars="15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  <w:lang w:val="en-US" w:eastAsia="zh-CN"/>
        </w:rPr>
        <w:t>SZY</w:t>
      </w:r>
      <w:r>
        <w:rPr>
          <w:rFonts w:ascii="微软雅黑" w:hAnsi="微软雅黑"/>
          <w:sz w:val="21"/>
          <w:szCs w:val="21"/>
        </w:rPr>
        <w:t>-B106</w:t>
      </w:r>
      <w:r>
        <w:rPr>
          <w:rFonts w:hint="eastAsia" w:ascii="微软雅黑" w:hAnsi="微软雅黑"/>
          <w:sz w:val="21"/>
          <w:szCs w:val="21"/>
        </w:rPr>
        <w:t>数码显微镜，是一款将精锐的光学显微镜技术、先进的光电转换技术和液晶屏幕技术完美结合的高科技产品，集高清显示、拍照、录像、储存于一体，操作简单、应用广泛，可应用于以下领域：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4.1动物学、植物学、昆虫学、组织学、矿物学、考古学、地质学和皮肤病学等的研究；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4.2在纺织工业中，用于原料及棉毛织物的检验；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4.3在电子工业中，作为晶体管点焊、检查等操作工具；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4.4各种材料的裂缝构成，气孔形状腐蚀情况等表面现象的检查；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4.5在制造小型精密零件时，用于机床工具的装置、工作过程的观察、精密零件的检查以及装配工具；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4.6透镜、棱镜或其它透明物质的表面质量，以及精密刻度的质量检查；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4.7广泛应用于化工化学、电子制造、医药食品、高等院校、考古研究等众多的领域。</w:t>
      </w:r>
    </w:p>
    <w:p>
      <w:pPr>
        <w:rPr>
          <w:rFonts w:ascii="微软雅黑" w:hAnsi="微软雅黑"/>
          <w:sz w:val="21"/>
          <w:szCs w:val="21"/>
        </w:rPr>
      </w:pPr>
    </w:p>
    <w:p>
      <w:pPr>
        <w:rPr>
          <w:rFonts w:ascii="微软雅黑" w:hAnsi="微软雅黑"/>
          <w:sz w:val="21"/>
          <w:szCs w:val="21"/>
        </w:rPr>
      </w:pPr>
    </w:p>
    <w:p>
      <w:pPr>
        <w:rPr>
          <w:rFonts w:ascii="微软雅黑" w:hAnsi="微软雅黑"/>
          <w:sz w:val="21"/>
          <w:szCs w:val="21"/>
        </w:rPr>
      </w:pPr>
    </w:p>
    <w:p>
      <w:pPr>
        <w:rPr>
          <w:rFonts w:ascii="微软雅黑" w:hAnsi="微软雅黑"/>
          <w:sz w:val="21"/>
          <w:szCs w:val="21"/>
        </w:rPr>
      </w:pPr>
    </w:p>
    <w:p>
      <w:pPr>
        <w:rPr>
          <w:rFonts w:ascii="微软雅黑" w:hAnsi="微软雅黑"/>
          <w:sz w:val="21"/>
          <w:szCs w:val="21"/>
        </w:rPr>
      </w:pPr>
    </w:p>
    <w:p>
      <w:pPr>
        <w:rPr>
          <w:rFonts w:ascii="微软雅黑" w:hAnsi="微软雅黑"/>
          <w:sz w:val="21"/>
          <w:szCs w:val="21"/>
        </w:rPr>
      </w:pPr>
    </w:p>
    <w:p>
      <w:pPr>
        <w:rPr>
          <w:rFonts w:ascii="微软雅黑" w:hAnsi="微软雅黑"/>
          <w:sz w:val="21"/>
          <w:szCs w:val="21"/>
        </w:rPr>
      </w:pPr>
    </w:p>
    <w:p>
      <w:pPr>
        <w:rPr>
          <w:rFonts w:ascii="微软雅黑" w:hAnsi="微软雅黑"/>
          <w:sz w:val="21"/>
          <w:szCs w:val="21"/>
        </w:rPr>
      </w:pPr>
    </w:p>
    <w:p>
      <w:pPr>
        <w:pStyle w:val="6"/>
        <w:rPr>
          <w:rStyle w:val="14"/>
          <w:rFonts w:ascii="微软雅黑" w:hAnsi="微软雅黑" w:eastAsia="微软雅黑"/>
          <w:b/>
          <w:bCs w:val="0"/>
          <w:sz w:val="24"/>
          <w:szCs w:val="24"/>
        </w:rPr>
      </w:pPr>
      <w:bookmarkStart w:id="6" w:name="_Toc509311766"/>
      <w:bookmarkStart w:id="7" w:name="_Toc65657305"/>
      <w:r>
        <w:rPr>
          <w:rStyle w:val="14"/>
          <w:rFonts w:hint="eastAsia" w:ascii="微软雅黑" w:hAnsi="微软雅黑" w:eastAsia="微软雅黑"/>
          <w:b/>
          <w:bCs w:val="0"/>
          <w:sz w:val="24"/>
          <w:szCs w:val="24"/>
        </w:rPr>
        <w:t>5、技术</w:t>
      </w:r>
      <w:bookmarkEnd w:id="6"/>
      <w:r>
        <w:rPr>
          <w:rStyle w:val="14"/>
          <w:rFonts w:hint="eastAsia" w:ascii="微软雅黑" w:hAnsi="微软雅黑" w:eastAsia="微软雅黑"/>
          <w:b/>
          <w:bCs w:val="0"/>
          <w:sz w:val="24"/>
          <w:szCs w:val="24"/>
        </w:rPr>
        <w:t>参数</w:t>
      </w:r>
      <w:bookmarkEnd w:id="7"/>
    </w:p>
    <w:tbl>
      <w:tblPr>
        <w:tblStyle w:val="8"/>
        <w:tblW w:w="8835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1"/>
        <w:gridCol w:w="1560"/>
        <w:gridCol w:w="2126"/>
        <w:gridCol w:w="1134"/>
        <w:gridCol w:w="1224"/>
        <w:gridCol w:w="1104"/>
        <w:gridCol w:w="122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414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b/>
                <w:bCs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b/>
                <w:bCs/>
                <w:sz w:val="16"/>
                <w:szCs w:val="16"/>
              </w:rPr>
              <w:t>型号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b/>
                <w:bCs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b/>
                <w:bCs/>
                <w:sz w:val="16"/>
                <w:szCs w:val="16"/>
                <w:lang w:val="en-US" w:eastAsia="zh-CN"/>
              </w:rPr>
              <w:t>SZY</w:t>
            </w:r>
            <w:r>
              <w:rPr>
                <w:rFonts w:hint="eastAsia" w:ascii="宋体" w:hAnsi="宋体" w:eastAsia="宋体" w:cs="Tahoma"/>
                <w:b/>
                <w:bCs/>
                <w:sz w:val="16"/>
                <w:szCs w:val="16"/>
              </w:rPr>
              <w:t>-B106L-A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b/>
                <w:bCs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b/>
                <w:bCs/>
                <w:sz w:val="16"/>
                <w:szCs w:val="16"/>
                <w:lang w:val="en-US" w:eastAsia="zh-CN"/>
              </w:rPr>
              <w:t>SZY</w:t>
            </w:r>
            <w:r>
              <w:rPr>
                <w:rFonts w:hint="eastAsia" w:ascii="宋体" w:hAnsi="宋体" w:eastAsia="宋体" w:cs="Tahoma"/>
                <w:b/>
                <w:bCs/>
                <w:sz w:val="16"/>
                <w:szCs w:val="16"/>
              </w:rPr>
              <w:t>-B106LX-A</w:t>
            </w:r>
          </w:p>
        </w:tc>
        <w:tc>
          <w:tcPr>
            <w:tcW w:w="11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b/>
                <w:bCs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b/>
                <w:bCs/>
                <w:sz w:val="16"/>
                <w:szCs w:val="16"/>
                <w:lang w:val="en-US" w:eastAsia="zh-CN"/>
              </w:rPr>
              <w:t>SZY</w:t>
            </w:r>
            <w:r>
              <w:rPr>
                <w:rFonts w:hint="eastAsia" w:ascii="宋体" w:hAnsi="宋体" w:eastAsia="宋体" w:cs="Tahoma"/>
                <w:b/>
                <w:bCs/>
                <w:sz w:val="16"/>
                <w:szCs w:val="16"/>
              </w:rPr>
              <w:t>-B106L-B</w:t>
            </w:r>
          </w:p>
        </w:tc>
        <w:tc>
          <w:tcPr>
            <w:tcW w:w="12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b/>
                <w:bCs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b/>
                <w:bCs/>
                <w:sz w:val="16"/>
                <w:szCs w:val="16"/>
                <w:lang w:val="en-US" w:eastAsia="zh-CN"/>
              </w:rPr>
              <w:t>SZY</w:t>
            </w:r>
            <w:r>
              <w:rPr>
                <w:rFonts w:hint="eastAsia" w:ascii="宋体" w:hAnsi="宋体" w:eastAsia="宋体" w:cs="Tahoma"/>
                <w:b/>
                <w:bCs/>
                <w:sz w:val="16"/>
                <w:szCs w:val="16"/>
              </w:rPr>
              <w:t>-B106LX-B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46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液晶屏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尺寸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10.6寸IPS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4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分辨率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1366*768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46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光学参数</w:t>
            </w:r>
          </w:p>
        </w:tc>
        <w:tc>
          <w:tcPr>
            <w:tcW w:w="156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光学系统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有限远光学系统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4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无限远光学系统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4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有限远消色差物镜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4×   N.A=0.1 WD=18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4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10×  N.A=0.25 WD=7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4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40×  N.A=0.65 WD=0.53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4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100× N.A=1.25 WD=0.13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4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无限远半平场物镜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4×   N.A=0.1 WD=16.8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10×  N.A=0.25 WD=5.8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4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40×  N.A=0.65 WD=0.43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</w:trPr>
        <w:tc>
          <w:tcPr>
            <w:tcW w:w="4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100× N.A=1.25 WD=0.13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4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观察镜筒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铰链式双目观察镜筒，30°倾斜，瞳距47-78mm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4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目镜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WF10×/18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4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WF10×/20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4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调焦系统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粗微动同轴调焦，微动0.002mm/格，升降范围25mm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4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转换器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内向式四孔转换器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4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平台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双层活动平台，尺寸140×140mm，移动范围75×50mm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4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双层活动平台，尺寸150×139mm，移动范围75×52mm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4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聚光镜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阿贝聚光镜NA1.25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4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照明系统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S-LED照明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46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数码参数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感光分辨率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4592*3072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4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 xml:space="preserve"> 拍照像素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 xml:space="preserve">1200w  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4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录像分辨率/帧速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1080p/60fps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4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显微镜放大倍数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40×~1600×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</w:trPr>
        <w:tc>
          <w:tcPr>
            <w:tcW w:w="4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存储方式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SD卡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4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数据输出格式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USB2.0/HDMI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4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无线传输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支持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o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o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o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4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测量功能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支持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o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4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功能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自动曝光，曝光偏移，自动白平衡，支持日期显示，拍照录像本地储存（最高内存32G）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</w:trPr>
        <w:tc>
          <w:tcPr>
            <w:tcW w:w="4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可外接设备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投影仪，显示器,电脑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46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可选配件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暗场聚光镜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干，油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o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o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o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</w:trPr>
        <w:tc>
          <w:tcPr>
            <w:tcW w:w="4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偏光附件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o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o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o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</w:trPr>
        <w:tc>
          <w:tcPr>
            <w:tcW w:w="4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相衬附件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o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o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o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</w:trPr>
        <w:tc>
          <w:tcPr>
            <w:tcW w:w="4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SD卡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SD卡，无线SD卡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o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o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o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</w:trPr>
        <w:tc>
          <w:tcPr>
            <w:tcW w:w="4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开机画面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o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o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o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4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测量软件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o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　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20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供电方式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DC12V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/>
              <w:snapToGrid/>
              <w:spacing w:after="0"/>
              <w:jc w:val="center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>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883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adjustRightInd/>
              <w:snapToGrid/>
              <w:spacing w:after="0"/>
              <w:rPr>
                <w:rFonts w:ascii="宋体" w:hAnsi="宋体" w:eastAsia="宋体" w:cs="Tahoma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eastAsia="宋体" w:cs="Tahoma"/>
                <w:color w:val="000000"/>
                <w:sz w:val="16"/>
                <w:szCs w:val="16"/>
              </w:rPr>
              <w:t xml:space="preserve"> 注：  ·为标配，</w:t>
            </w:r>
            <w:r>
              <w:rPr>
                <w:rFonts w:hint="eastAsia" w:ascii="宋体" w:hAnsi="宋体" w:eastAsia="宋体" w:cs="Tahoma"/>
                <w:b/>
                <w:bCs/>
                <w:color w:val="000000"/>
                <w:sz w:val="16"/>
                <w:szCs w:val="16"/>
              </w:rPr>
              <w:t>o 为选配</w:t>
            </w:r>
          </w:p>
        </w:tc>
      </w:tr>
    </w:tbl>
    <w:p>
      <w:pPr>
        <w:spacing w:line="220" w:lineRule="atLeast"/>
      </w:pPr>
    </w:p>
    <w:p>
      <w:pPr>
        <w:pStyle w:val="6"/>
        <w:rPr>
          <w:rStyle w:val="14"/>
          <w:rFonts w:ascii="微软雅黑" w:hAnsi="微软雅黑" w:eastAsia="微软雅黑"/>
          <w:b/>
          <w:bCs w:val="0"/>
          <w:sz w:val="24"/>
          <w:szCs w:val="24"/>
        </w:rPr>
      </w:pPr>
      <w:bookmarkStart w:id="8" w:name="_Toc65657306"/>
      <w:bookmarkStart w:id="13" w:name="_GoBack"/>
      <w:bookmarkEnd w:id="13"/>
      <w:r>
        <w:rPr>
          <w:rStyle w:val="14"/>
          <w:rFonts w:hint="eastAsia" w:ascii="微软雅黑" w:hAnsi="微软雅黑" w:eastAsia="微软雅黑"/>
          <w:b/>
          <w:bCs w:val="0"/>
          <w:sz w:val="24"/>
          <w:szCs w:val="24"/>
        </w:rPr>
        <w:t>6、安装说明</w:t>
      </w:r>
      <w:bookmarkEnd w:id="8"/>
    </w:p>
    <w:p>
      <w:pPr>
        <w:spacing w:line="220" w:lineRule="atLeas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495300</wp:posOffset>
            </wp:positionV>
            <wp:extent cx="5972175" cy="5724525"/>
            <wp:effectExtent l="19050" t="0" r="9525" b="0"/>
            <wp:wrapSquare wrapText="bothSides"/>
            <wp:docPr id="5" name="图片 4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1.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sz w:val="21"/>
          <w:szCs w:val="21"/>
        </w:rPr>
        <w:t>6.1数码显微镜本体</w:t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6.2 安装</w:t>
      </w:r>
    </w:p>
    <w:p>
      <w:pPr>
        <w:spacing w:line="220" w:lineRule="atLeas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6.2.1安装图示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下图显示各个组件的安装顺序，图中数字表示安装步骤。</w:t>
      </w:r>
    </w:p>
    <w:p>
      <w:pPr>
        <w:widowControl w:val="0"/>
        <w:numPr>
          <w:ilvl w:val="0"/>
          <w:numId w:val="1"/>
        </w:numPr>
        <w:adjustRightInd/>
        <w:snapToGrid/>
        <w:spacing w:after="0"/>
        <w:jc w:val="both"/>
        <w:rPr>
          <w:rFonts w:ascii="微软雅黑" w:hAnsi="微软雅黑"/>
          <w:b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762000</wp:posOffset>
            </wp:positionV>
            <wp:extent cx="5274310" cy="6515100"/>
            <wp:effectExtent l="19050" t="0" r="2540" b="0"/>
            <wp:wrapTight wrapText="bothSides">
              <wp:wrapPolygon>
                <wp:start x="-78" y="0"/>
                <wp:lineTo x="-78" y="21537"/>
                <wp:lineTo x="21610" y="21537"/>
                <wp:lineTo x="21610" y="0"/>
                <wp:lineTo x="-78" y="0"/>
              </wp:wrapPolygon>
            </wp:wrapTight>
            <wp:docPr id="6" name="图片 5" descr="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1.2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sz w:val="21"/>
          <w:szCs w:val="21"/>
        </w:rPr>
        <w:t>安装之前，确认所有部件都没有灰尘和污物。不要划伤任何部件或玻璃表面。</w:t>
      </w:r>
    </w:p>
    <w:p>
      <w:pPr>
        <w:widowControl w:val="0"/>
        <w:numPr>
          <w:ilvl w:val="0"/>
          <w:numId w:val="1"/>
        </w:numPr>
        <w:adjustRightInd/>
        <w:snapToGrid/>
        <w:spacing w:after="0"/>
        <w:jc w:val="both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保存好所提供的六角扳手。更换部件时，你还要用到它。</w:t>
      </w:r>
    </w:p>
    <w:p>
      <w:pPr>
        <w:widowControl w:val="0"/>
        <w:adjustRightInd/>
        <w:snapToGrid/>
        <w:spacing w:after="0"/>
        <w:ind w:left="420"/>
        <w:jc w:val="both"/>
      </w:pPr>
    </w:p>
    <w:p>
      <w:pPr>
        <w:spacing w:line="220" w:lineRule="atLeast"/>
      </w:pPr>
    </w:p>
    <w:p>
      <w:pPr>
        <w:spacing w:line="220" w:lineRule="atLeas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6.2.2 安装步骤</w:t>
      </w:r>
    </w:p>
    <w:p>
      <w:pPr>
        <w:pStyle w:val="16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71755</wp:posOffset>
                </wp:positionV>
                <wp:extent cx="2743200" cy="7871460"/>
                <wp:effectExtent l="0" t="0" r="0" b="0"/>
                <wp:wrapNone/>
                <wp:docPr id="37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787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after="100" w:afterAutospacing="1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  <w:shd w:val="clear" w:color="auto" w:fill="8C8C8C"/>
                              </w:rPr>
                              <w:t>6.2.2.1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</w:rPr>
                              <w:t xml:space="preserve"> 安装双目观察头（图1、2）</w:t>
                            </w:r>
                          </w:p>
                          <w:p>
                            <w:pPr>
                              <w:spacing w:after="100" w:afterAutospacing="1" w:line="360" w:lineRule="auto"/>
                              <w:ind w:firstLine="357" w:firstLineChars="170"/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>将双目观察头插入显微镜体的头部，转至合适位置，用固紧螺钉将之固定。</w:t>
                            </w:r>
                          </w:p>
                          <w:p>
                            <w:pPr>
                              <w:spacing w:after="100" w:afterAutospacing="1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  <w:shd w:val="clear" w:color="auto" w:fill="8C8C8C"/>
                              </w:rPr>
                            </w:pPr>
                          </w:p>
                          <w:p>
                            <w:pPr>
                              <w:spacing w:after="100" w:afterAutospacing="1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  <w:shd w:val="clear" w:color="auto" w:fill="8C8C8C"/>
                              </w:rPr>
                            </w:pPr>
                          </w:p>
                          <w:p>
                            <w:pPr>
                              <w:spacing w:after="100" w:afterAutospacing="1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  <w:shd w:val="clear" w:color="auto" w:fill="8C8C8C"/>
                              </w:rPr>
                            </w:pPr>
                          </w:p>
                          <w:p>
                            <w:pPr>
                              <w:spacing w:after="100" w:afterAutospacing="1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  <w:shd w:val="clear" w:color="auto" w:fill="8C8C8C"/>
                              </w:rPr>
                            </w:pPr>
                          </w:p>
                          <w:p>
                            <w:pPr>
                              <w:spacing w:after="100" w:afterAutospacing="1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  <w:shd w:val="clear" w:color="auto" w:fill="8C8C8C"/>
                              </w:rPr>
                            </w:pPr>
                          </w:p>
                          <w:p>
                            <w:pPr>
                              <w:spacing w:after="100" w:afterAutospacing="1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  <w:shd w:val="clear" w:color="auto" w:fill="8C8C8C"/>
                              </w:rPr>
                            </w:pPr>
                          </w:p>
                          <w:p>
                            <w:pPr>
                              <w:spacing w:after="100" w:afterAutospacing="1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  <w:shd w:val="clear" w:color="auto" w:fill="8C8C8C"/>
                              </w:rPr>
                            </w:pPr>
                          </w:p>
                          <w:p>
                            <w:pPr>
                              <w:spacing w:after="100" w:afterAutospacing="1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  <w:shd w:val="clear" w:color="auto" w:fill="8C8C8C"/>
                              </w:rPr>
                            </w:pPr>
                          </w:p>
                          <w:p>
                            <w:pPr>
                              <w:spacing w:after="100" w:afterAutospacing="1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  <w:shd w:val="clear" w:color="auto" w:fill="8C8C8C"/>
                              </w:rPr>
                              <w:t>6.2.2.2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</w:rPr>
                              <w:t xml:space="preserve"> 安装目镜（图3、4）</w:t>
                            </w:r>
                          </w:p>
                          <w:p>
                            <w:pPr>
                              <w:spacing w:after="100" w:afterAutospacing="1" w:line="360" w:lineRule="auto"/>
                              <w:ind w:left="330" w:leftChars="150"/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>将目镜插入目镜筒中，直到靠面为止,然后支紧目镜筒侧的紧定螺钉。安装后如图4所示。</w:t>
                            </w:r>
                          </w:p>
                          <w:p>
                            <w:pPr>
                              <w:spacing w:after="100" w:afterAutospacing="1" w:line="360" w:lineRule="auto"/>
                              <w:ind w:left="330" w:leftChars="150"/>
                            </w:pPr>
                          </w:p>
                          <w:p>
                            <w:pPr>
                              <w:spacing w:after="100" w:afterAutospacing="1" w:line="360" w:lineRule="auto"/>
                              <w:rPr>
                                <w:b/>
                                <w:sz w:val="24"/>
                                <w:shd w:val="clear" w:color="auto" w:fill="8C8C8C"/>
                              </w:rPr>
                            </w:pPr>
                          </w:p>
                          <w:p>
                            <w:pPr>
                              <w:spacing w:after="100" w:afterAutospacing="1" w:line="360" w:lineRule="auto"/>
                              <w:rPr>
                                <w:b/>
                                <w:sz w:val="24"/>
                                <w:shd w:val="clear" w:color="auto" w:fill="8C8C8C"/>
                              </w:rPr>
                            </w:pPr>
                          </w:p>
                          <w:p>
                            <w:pPr>
                              <w:spacing w:after="100" w:afterAutospacing="1" w:line="360" w:lineRule="auto"/>
                              <w:ind w:left="330" w:leftChars="150"/>
                            </w:pPr>
                          </w:p>
                          <w:p>
                            <w:pPr>
                              <w:spacing w:after="100" w:afterAutospacing="1" w:line="360" w:lineRule="auto"/>
                              <w:ind w:left="330" w:leftChars="150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4" o:spid="_x0000_s1026" o:spt="202" type="#_x0000_t202" style="position:absolute;left:0pt;margin-left:189pt;margin-top:5.65pt;height:619.8pt;width:216pt;z-index:251662336;mso-width-relative:page;mso-height-relative:page;" filled="f" stroked="f" coordsize="21600,21600" o:gfxdata="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A4pmtLXAAAACwEAAA8AAAAAAAAAAQAgAAAAIgAAAGRycy9kb3ducmV2LnhtbFBLAQIUABQAAAAI&#10;AIdO4kC2hog/tQEAAF8DAAAOAAAAAAAAAAEAIAAAACYBAABkcnMvZTJvRG9jLnhtbFBLBQYAAAAA&#10;BgAGAFkBAAB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after="100" w:afterAutospacing="1"/>
                        <w:rPr>
                          <w:rFonts w:ascii="微软雅黑" w:hAnsi="微软雅黑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  <w:shd w:val="clear" w:color="auto" w:fill="8C8C8C"/>
                        </w:rPr>
                        <w:t>6.2.2.1</w:t>
                      </w: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</w:rPr>
                        <w:t xml:space="preserve"> 安装双目观察头（图1、2）</w:t>
                      </w:r>
                    </w:p>
                    <w:p>
                      <w:pPr>
                        <w:spacing w:after="100" w:afterAutospacing="1" w:line="360" w:lineRule="auto"/>
                        <w:ind w:firstLine="357" w:firstLineChars="170"/>
                        <w:rPr>
                          <w:rFonts w:ascii="微软雅黑" w:hAnsi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>将双目观察头插入显微镜体的头部，转至合适位置，用固紧螺钉将之固定。</w:t>
                      </w:r>
                    </w:p>
                    <w:p>
                      <w:pPr>
                        <w:spacing w:after="100" w:afterAutospacing="1"/>
                        <w:rPr>
                          <w:rFonts w:ascii="微软雅黑" w:hAnsi="微软雅黑"/>
                          <w:b/>
                          <w:sz w:val="21"/>
                          <w:szCs w:val="21"/>
                          <w:shd w:val="clear" w:color="auto" w:fill="8C8C8C"/>
                        </w:rPr>
                      </w:pPr>
                    </w:p>
                    <w:p>
                      <w:pPr>
                        <w:spacing w:after="100" w:afterAutospacing="1"/>
                        <w:rPr>
                          <w:rFonts w:ascii="微软雅黑" w:hAnsi="微软雅黑"/>
                          <w:b/>
                          <w:sz w:val="21"/>
                          <w:szCs w:val="21"/>
                          <w:shd w:val="clear" w:color="auto" w:fill="8C8C8C"/>
                        </w:rPr>
                      </w:pPr>
                    </w:p>
                    <w:p>
                      <w:pPr>
                        <w:spacing w:after="100" w:afterAutospacing="1"/>
                        <w:rPr>
                          <w:rFonts w:ascii="微软雅黑" w:hAnsi="微软雅黑"/>
                          <w:b/>
                          <w:sz w:val="21"/>
                          <w:szCs w:val="21"/>
                          <w:shd w:val="clear" w:color="auto" w:fill="8C8C8C"/>
                        </w:rPr>
                      </w:pPr>
                    </w:p>
                    <w:p>
                      <w:pPr>
                        <w:spacing w:after="100" w:afterAutospacing="1"/>
                        <w:rPr>
                          <w:rFonts w:ascii="微软雅黑" w:hAnsi="微软雅黑"/>
                          <w:b/>
                          <w:sz w:val="21"/>
                          <w:szCs w:val="21"/>
                          <w:shd w:val="clear" w:color="auto" w:fill="8C8C8C"/>
                        </w:rPr>
                      </w:pPr>
                    </w:p>
                    <w:p>
                      <w:pPr>
                        <w:spacing w:after="100" w:afterAutospacing="1"/>
                        <w:rPr>
                          <w:rFonts w:ascii="微软雅黑" w:hAnsi="微软雅黑"/>
                          <w:b/>
                          <w:sz w:val="21"/>
                          <w:szCs w:val="21"/>
                          <w:shd w:val="clear" w:color="auto" w:fill="8C8C8C"/>
                        </w:rPr>
                      </w:pPr>
                    </w:p>
                    <w:p>
                      <w:pPr>
                        <w:spacing w:after="100" w:afterAutospacing="1"/>
                        <w:rPr>
                          <w:rFonts w:ascii="微软雅黑" w:hAnsi="微软雅黑"/>
                          <w:b/>
                          <w:sz w:val="21"/>
                          <w:szCs w:val="21"/>
                          <w:shd w:val="clear" w:color="auto" w:fill="8C8C8C"/>
                        </w:rPr>
                      </w:pPr>
                    </w:p>
                    <w:p>
                      <w:pPr>
                        <w:spacing w:after="100" w:afterAutospacing="1"/>
                        <w:rPr>
                          <w:rFonts w:ascii="微软雅黑" w:hAnsi="微软雅黑"/>
                          <w:b/>
                          <w:sz w:val="21"/>
                          <w:szCs w:val="21"/>
                          <w:shd w:val="clear" w:color="auto" w:fill="8C8C8C"/>
                        </w:rPr>
                      </w:pPr>
                    </w:p>
                    <w:p>
                      <w:pPr>
                        <w:spacing w:after="100" w:afterAutospacing="1"/>
                        <w:rPr>
                          <w:rFonts w:ascii="微软雅黑" w:hAnsi="微软雅黑"/>
                          <w:b/>
                          <w:sz w:val="21"/>
                          <w:szCs w:val="21"/>
                          <w:shd w:val="clear" w:color="auto" w:fill="8C8C8C"/>
                        </w:rPr>
                      </w:pPr>
                    </w:p>
                    <w:p>
                      <w:pPr>
                        <w:spacing w:after="100" w:afterAutospacing="1"/>
                        <w:rPr>
                          <w:rFonts w:ascii="微软雅黑" w:hAnsi="微软雅黑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  <w:shd w:val="clear" w:color="auto" w:fill="8C8C8C"/>
                        </w:rPr>
                        <w:t>6.2.2.2</w:t>
                      </w: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</w:rPr>
                        <w:t xml:space="preserve"> 安装目镜（图3、4）</w:t>
                      </w:r>
                    </w:p>
                    <w:p>
                      <w:pPr>
                        <w:spacing w:after="100" w:afterAutospacing="1" w:line="360" w:lineRule="auto"/>
                        <w:ind w:left="330" w:leftChars="150"/>
                        <w:rPr>
                          <w:rFonts w:ascii="微软雅黑" w:hAnsi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>将目镜插入目镜筒中，直到靠面为止,然后支紧目镜筒侧的紧定螺钉。安装后如图4所示。</w:t>
                      </w:r>
                    </w:p>
                    <w:p>
                      <w:pPr>
                        <w:spacing w:after="100" w:afterAutospacing="1" w:line="360" w:lineRule="auto"/>
                        <w:ind w:left="330" w:leftChars="150"/>
                      </w:pPr>
                    </w:p>
                    <w:p>
                      <w:pPr>
                        <w:spacing w:after="100" w:afterAutospacing="1" w:line="360" w:lineRule="auto"/>
                        <w:rPr>
                          <w:b/>
                          <w:sz w:val="24"/>
                          <w:shd w:val="clear" w:color="auto" w:fill="8C8C8C"/>
                        </w:rPr>
                      </w:pPr>
                    </w:p>
                    <w:p>
                      <w:pPr>
                        <w:spacing w:after="100" w:afterAutospacing="1" w:line="360" w:lineRule="auto"/>
                        <w:rPr>
                          <w:b/>
                          <w:sz w:val="24"/>
                          <w:shd w:val="clear" w:color="auto" w:fill="8C8C8C"/>
                        </w:rPr>
                      </w:pPr>
                    </w:p>
                    <w:p>
                      <w:pPr>
                        <w:spacing w:after="100" w:afterAutospacing="1" w:line="360" w:lineRule="auto"/>
                        <w:ind w:left="330" w:leftChars="150"/>
                      </w:pPr>
                    </w:p>
                    <w:p>
                      <w:pPr>
                        <w:spacing w:after="100" w:afterAutospacing="1" w:line="360" w:lineRule="auto"/>
                        <w:ind w:left="330" w:leftChars="15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2057400" cy="1470660"/>
            <wp:effectExtent l="19050" t="0" r="0" b="0"/>
            <wp:docPr id="7" name="图片 6" descr="微信图片_2020121709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201217092239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47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  <w:r>
        <w:rPr>
          <w:rFonts w:hint="eastAsia"/>
          <w:sz w:val="18"/>
          <w:szCs w:val="18"/>
        </w:rPr>
        <w:t>图1</w:t>
      </w:r>
    </w:p>
    <w:p>
      <w:pPr>
        <w:spacing w:after="0" w:line="220" w:lineRule="atLeast"/>
        <w:rPr>
          <w:sz w:val="18"/>
          <w:szCs w:val="18"/>
        </w:rPr>
      </w:pPr>
      <w:r>
        <w:rPr>
          <w:rFonts w:hint="eastAsia"/>
        </w:rPr>
        <w:drawing>
          <wp:inline distT="0" distB="0" distL="0" distR="0">
            <wp:extent cx="1981200" cy="2176780"/>
            <wp:effectExtent l="19050" t="0" r="0" b="0"/>
            <wp:docPr id="8" name="图片 7" descr="微信图片_2020121709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01217092255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1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  <w:r>
        <w:rPr>
          <w:rFonts w:hint="eastAsia"/>
          <w:sz w:val="18"/>
          <w:szCs w:val="18"/>
        </w:rPr>
        <w:t>图2</w:t>
      </w:r>
    </w:p>
    <w:p>
      <w:pPr>
        <w:spacing w:after="0" w:line="220" w:lineRule="atLeast"/>
        <w:rPr>
          <w:sz w:val="18"/>
          <w:szCs w:val="18"/>
        </w:rPr>
      </w:pPr>
      <w:r>
        <w:rPr>
          <w:rFonts w:hint="eastAsia"/>
        </w:rPr>
        <w:drawing>
          <wp:inline distT="0" distB="0" distL="0" distR="0">
            <wp:extent cx="2057400" cy="1470660"/>
            <wp:effectExtent l="19050" t="0" r="0" b="0"/>
            <wp:docPr id="9" name="图片 8" descr="微信图片_2020121709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_20201217092307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47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  <w:r>
        <w:rPr>
          <w:rFonts w:hint="eastAsia"/>
          <w:sz w:val="18"/>
          <w:szCs w:val="18"/>
        </w:rPr>
        <w:t>图3</w:t>
      </w:r>
    </w:p>
    <w:p>
      <w:pPr>
        <w:spacing w:after="0" w:line="220" w:lineRule="atLeast"/>
        <w:rPr>
          <w:sz w:val="18"/>
          <w:szCs w:val="18"/>
        </w:rPr>
      </w:pPr>
      <w:r>
        <w:rPr>
          <w:rFonts w:hint="eastAsia"/>
        </w:rPr>
        <w:drawing>
          <wp:inline distT="0" distB="0" distL="0" distR="0">
            <wp:extent cx="1971675" cy="2120900"/>
            <wp:effectExtent l="19050" t="0" r="9525" b="0"/>
            <wp:docPr id="10" name="图片 9" descr="微信图片_2020121709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_20201217092322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1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  <w:r>
        <w:rPr>
          <w:rFonts w:hint="eastAsia"/>
          <w:sz w:val="18"/>
          <w:szCs w:val="18"/>
        </w:rPr>
        <w:t>图4</w:t>
      </w:r>
    </w:p>
    <w:p>
      <w:pPr>
        <w:spacing w:after="0" w:line="220" w:lineRule="atLeast"/>
        <w:rPr>
          <w:sz w:val="18"/>
          <w:szCs w:val="18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47625</wp:posOffset>
                </wp:positionV>
                <wp:extent cx="2743200" cy="9458325"/>
                <wp:effectExtent l="0" t="0" r="0" b="0"/>
                <wp:wrapNone/>
                <wp:docPr id="3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after="100" w:afterAutospacing="1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  <w:shd w:val="clear" w:color="auto" w:fill="8C8C8C"/>
                              </w:rPr>
                              <w:t>6.2.2.3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</w:rPr>
                              <w:t xml:space="preserve"> 安装物镜（图5、6）</w:t>
                            </w:r>
                          </w:p>
                          <w:p>
                            <w:pPr>
                              <w:spacing w:line="360" w:lineRule="auto"/>
                              <w:ind w:left="315" w:hanging="315" w:hangingChars="150"/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>1. 调节粗调焦手轮，直到机械载物台支架装置降至它的低限位。</w:t>
                            </w:r>
                          </w:p>
                          <w:p>
                            <w:pPr>
                              <w:spacing w:line="360" w:lineRule="auto"/>
                              <w:ind w:left="315" w:hanging="315" w:hangingChars="150"/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>2. 从左侧或右侧把最低放大倍率的物镜拧到转换器上，然后顺时针方向推动物镜转换器，按放大倍率从低到高的顺序安装其它物镜。</w:t>
                            </w:r>
                          </w:p>
                          <w:p>
                            <w:pPr>
                              <w:spacing w:line="360" w:lineRule="auto"/>
                              <w:ind w:left="315" w:hanging="315" w:hangingChars="150"/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sym w:font="Wingdings" w:char="F0B2"/>
                            </w: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 xml:space="preserve"> 按照这种方法安装物镜会使在使用过程中改变放大倍率变得很容易。</w:t>
                            </w:r>
                          </w:p>
                          <w:p>
                            <w:pPr>
                              <w:ind w:left="315" w:hanging="315" w:hangingChars="150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</w:rPr>
                              <w:sym w:font="Wingdings" w:char="F0AB"/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</w:rPr>
                              <w:t xml:space="preserve"> 定期清洁物镜，物镜镜头对灰尘非常敏感。</w:t>
                            </w:r>
                          </w:p>
                          <w:p>
                            <w:pPr>
                              <w:ind w:left="315" w:hanging="315" w:hangingChars="150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</w:rPr>
                              <w:sym w:font="Wingdings" w:char="F0AB"/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</w:rPr>
                              <w:t xml:space="preserve"> 操作时，先用10×物镜进行搜寻样品并聚焦，然后根据需要换用其它倍率的物镜进行观察。</w:t>
                            </w:r>
                          </w:p>
                          <w:p>
                            <w:pPr>
                              <w:ind w:left="315" w:hanging="315" w:hangingChars="150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</w:rPr>
                              <w:sym w:font="Wingdings" w:char="F0AB"/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</w:rPr>
                              <w:t xml:space="preserve"> 更换物镜时，转动物镜转换器，直至听到“咔哒”声，才能确保所需物镜进入光路中心。</w:t>
                            </w:r>
                          </w:p>
                          <w:p>
                            <w:pPr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after="100" w:afterAutospacing="1" w:line="360" w:lineRule="auto"/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  <w:shd w:val="clear" w:color="auto" w:fill="8C8C8C"/>
                              </w:rPr>
                              <w:t>6.2.2.4</w:t>
                            </w: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</w:rPr>
                              <w:t>安装滤色片组件（图7）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djustRightInd/>
                              <w:snapToGrid/>
                              <w:spacing w:after="100" w:afterAutospacing="1" w:line="360" w:lineRule="auto"/>
                              <w:jc w:val="both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>按图示方向打开聚光镜托架</w:t>
                            </w:r>
                            <w:r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  <w:t>①</w:t>
                            </w: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>；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djustRightInd/>
                              <w:snapToGrid/>
                              <w:spacing w:after="100" w:afterAutospacing="1" w:line="360" w:lineRule="auto"/>
                              <w:jc w:val="both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>把所需的滤色片</w:t>
                            </w:r>
                            <w:r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  <w:t>②</w:t>
                            </w: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>放进聚光镜托架的相应孔中，然后把托架转回原位。</w:t>
                            </w:r>
                          </w:p>
                          <w:p>
                            <w:pPr>
                              <w:ind w:left="315" w:hanging="315" w:hangingChars="150"/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  <w:t>★</w:t>
                            </w: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</w:rPr>
                              <w:t xml:space="preserve"> 标准配置的滤色片有淡蓝、绿两种。</w:t>
                            </w:r>
                          </w:p>
                          <w:p>
                            <w:pPr>
                              <w:ind w:left="330" w:hanging="330" w:hangingChars="150"/>
                              <w:rPr>
                                <w:szCs w:val="21"/>
                              </w:rPr>
                            </w:pPr>
                          </w:p>
                          <w:p>
                            <w:pPr>
                              <w:spacing w:after="100" w:afterAutospacing="1" w:line="360" w:lineRule="auto"/>
                              <w:rPr>
                                <w:b/>
                                <w:sz w:val="24"/>
                                <w:shd w:val="clear" w:color="auto" w:fill="8C8C8C"/>
                              </w:rPr>
                            </w:pPr>
                          </w:p>
                          <w:p>
                            <w:pPr>
                              <w:ind w:left="330" w:hanging="330" w:hangingChars="150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4" o:spid="_x0000_s1026" o:spt="202" type="#_x0000_t202" style="position:absolute;left:0pt;margin-left:189.75pt;margin-top:3.75pt;height:744.75pt;width:216pt;z-index:251663360;mso-width-relative:page;mso-height-relative:page;" filled="f" stroked="f" coordsize="21600,21600" o:gfxdata="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SxVratgAAAAKAQAADwAAAAAAAAABACAAAAAiAAAAZHJzL2Rvd25yZXYueG1sUEsBAhQAFAAAAAgA&#10;h07iQN/bq+SzAQAAXg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after="100" w:afterAutospacing="1"/>
                        <w:rPr>
                          <w:rFonts w:ascii="微软雅黑" w:hAnsi="微软雅黑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  <w:shd w:val="clear" w:color="auto" w:fill="8C8C8C"/>
                        </w:rPr>
                        <w:t>6.2.2.3</w:t>
                      </w: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</w:rPr>
                        <w:t xml:space="preserve"> 安装物镜（图5、6）</w:t>
                      </w:r>
                    </w:p>
                    <w:p>
                      <w:pPr>
                        <w:spacing w:line="360" w:lineRule="auto"/>
                        <w:ind w:left="315" w:hanging="315" w:hangingChars="150"/>
                        <w:rPr>
                          <w:rFonts w:ascii="微软雅黑" w:hAnsi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>1. 调节粗调焦手轮，直到机械载物台支架装置降至它的低限位。</w:t>
                      </w:r>
                    </w:p>
                    <w:p>
                      <w:pPr>
                        <w:spacing w:line="360" w:lineRule="auto"/>
                        <w:ind w:left="315" w:hanging="315" w:hangingChars="150"/>
                        <w:rPr>
                          <w:rFonts w:ascii="微软雅黑" w:hAnsi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>2. 从左侧或右侧把最低放大倍率的物镜拧到转换器上，然后顺时针方向推动物镜转换器，按放大倍率从低到高的顺序安装其它物镜。</w:t>
                      </w:r>
                    </w:p>
                    <w:p>
                      <w:pPr>
                        <w:spacing w:line="360" w:lineRule="auto"/>
                        <w:ind w:left="315" w:hanging="315" w:hangingChars="150"/>
                        <w:rPr>
                          <w:rFonts w:ascii="微软雅黑" w:hAnsi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sym w:font="Wingdings" w:char="F0B2"/>
                      </w: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 xml:space="preserve"> 按照这种方法安装物镜会使在使用过程中改变放大倍率变得很容易。</w:t>
                      </w:r>
                    </w:p>
                    <w:p>
                      <w:pPr>
                        <w:ind w:left="315" w:hanging="315" w:hangingChars="150"/>
                        <w:rPr>
                          <w:rFonts w:ascii="微软雅黑" w:hAnsi="微软雅黑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</w:rPr>
                        <w:sym w:font="Wingdings" w:char="F0AB"/>
                      </w: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</w:rPr>
                        <w:t xml:space="preserve"> 定期清洁物镜，物镜镜头对灰尘非常敏感。</w:t>
                      </w:r>
                    </w:p>
                    <w:p>
                      <w:pPr>
                        <w:ind w:left="315" w:hanging="315" w:hangingChars="150"/>
                        <w:rPr>
                          <w:rFonts w:ascii="微软雅黑" w:hAnsi="微软雅黑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</w:rPr>
                        <w:sym w:font="Wingdings" w:char="F0AB"/>
                      </w: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</w:rPr>
                        <w:t xml:space="preserve"> 操作时，先用10×物镜进行搜寻样品并聚焦，然后根据需要换用其它倍率的物镜进行观察。</w:t>
                      </w:r>
                    </w:p>
                    <w:p>
                      <w:pPr>
                        <w:ind w:left="315" w:hanging="315" w:hangingChars="150"/>
                        <w:rPr>
                          <w:rFonts w:ascii="微软雅黑" w:hAnsi="微软雅黑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</w:rPr>
                        <w:sym w:font="Wingdings" w:char="F0AB"/>
                      </w: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</w:rPr>
                        <w:t xml:space="preserve"> 更换物镜时，转动物镜转换器，直至听到“咔哒”声，才能确保所需物镜进入光路中心。</w:t>
                      </w:r>
                    </w:p>
                    <w:p>
                      <w:pPr>
                        <w:rPr>
                          <w:rFonts w:ascii="微软雅黑" w:hAnsi="微软雅黑"/>
                          <w:b/>
                          <w:sz w:val="21"/>
                          <w:szCs w:val="21"/>
                        </w:rPr>
                      </w:pPr>
                    </w:p>
                    <w:p>
                      <w:pPr>
                        <w:spacing w:after="100" w:afterAutospacing="1" w:line="360" w:lineRule="auto"/>
                        <w:rPr>
                          <w:rFonts w:ascii="微软雅黑" w:hAnsi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  <w:shd w:val="clear" w:color="auto" w:fill="8C8C8C"/>
                        </w:rPr>
                        <w:t>6.2.2.4</w:t>
                      </w: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</w:rPr>
                        <w:t>安装滤色片组件（图7）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2"/>
                        </w:numPr>
                        <w:adjustRightInd/>
                        <w:snapToGrid/>
                        <w:spacing w:after="100" w:afterAutospacing="1" w:line="360" w:lineRule="auto"/>
                        <w:jc w:val="both"/>
                        <w:rPr>
                          <w:rFonts w:ascii="微软雅黑" w:hAnsi="微软雅黑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>按图示方向打开聚光镜托架</w:t>
                      </w:r>
                      <w:r>
                        <w:rPr>
                          <w:rFonts w:ascii="微软雅黑" w:hAnsi="微软雅黑"/>
                          <w:sz w:val="21"/>
                          <w:szCs w:val="21"/>
                        </w:rPr>
                        <w:t>①</w:t>
                      </w: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>；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2"/>
                        </w:numPr>
                        <w:adjustRightInd/>
                        <w:snapToGrid/>
                        <w:spacing w:after="100" w:afterAutospacing="1" w:line="360" w:lineRule="auto"/>
                        <w:jc w:val="both"/>
                        <w:rPr>
                          <w:rFonts w:ascii="微软雅黑" w:hAnsi="微软雅黑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>把所需的滤色片</w:t>
                      </w:r>
                      <w:r>
                        <w:rPr>
                          <w:rFonts w:ascii="微软雅黑" w:hAnsi="微软雅黑"/>
                          <w:sz w:val="21"/>
                          <w:szCs w:val="21"/>
                        </w:rPr>
                        <w:t>②</w:t>
                      </w: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>放进聚光镜托架的相应孔中，然后把托架转回原位。</w:t>
                      </w:r>
                    </w:p>
                    <w:p>
                      <w:pPr>
                        <w:ind w:left="315" w:hanging="315" w:hangingChars="150"/>
                        <w:rPr>
                          <w:rFonts w:ascii="微软雅黑" w:hAnsi="微软雅黑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sz w:val="21"/>
                          <w:szCs w:val="21"/>
                        </w:rPr>
                        <w:t>★</w:t>
                      </w: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</w:rPr>
                        <w:t xml:space="preserve"> 标准配置的滤色片有淡蓝、绿两种。</w:t>
                      </w:r>
                    </w:p>
                    <w:p>
                      <w:pPr>
                        <w:ind w:left="330" w:hanging="330" w:hangingChars="150"/>
                        <w:rPr>
                          <w:szCs w:val="21"/>
                        </w:rPr>
                      </w:pPr>
                    </w:p>
                    <w:p>
                      <w:pPr>
                        <w:spacing w:after="100" w:afterAutospacing="1" w:line="360" w:lineRule="auto"/>
                        <w:rPr>
                          <w:b/>
                          <w:sz w:val="24"/>
                          <w:shd w:val="clear" w:color="auto" w:fill="8C8C8C"/>
                        </w:rPr>
                      </w:pPr>
                    </w:p>
                    <w:p>
                      <w:pPr>
                        <w:ind w:left="330" w:hanging="330" w:hangingChars="150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1132205</wp:posOffset>
                </wp:positionH>
                <wp:positionV relativeFrom="paragraph">
                  <wp:posOffset>1002030</wp:posOffset>
                </wp:positionV>
                <wp:extent cx="527050" cy="333375"/>
                <wp:effectExtent l="39370" t="55245" r="65405" b="0"/>
                <wp:wrapNone/>
                <wp:docPr id="2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61593">
                          <a:off x="0" y="0"/>
                          <a:ext cx="527050" cy="333375"/>
                        </a:xfrm>
                        <a:prstGeom prst="curvedUpArrow">
                          <a:avLst>
                            <a:gd name="adj1" fmla="val 31619"/>
                            <a:gd name="adj2" fmla="val 63238"/>
                            <a:gd name="adj3" fmla="val 28898"/>
                          </a:avLst>
                        </a:prstGeom>
                        <a:solidFill>
                          <a:srgbClr val="00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104" type="#_x0000_t104" style="position:absolute;left:0pt;margin-left:89.15pt;margin-top:78.9pt;height:26.25pt;width:41.5pt;rotation:3671756f;z-index:251661312;mso-width-relative:page;mso-height-relative:page;" fillcolor="#000000" filled="t" stroked="t" coordsize="21600,21600" o:gfxdata="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ZlRLVAAAACwEAAA8AAAAAAAAAAQAgAAAAIgAAAGRy&#10;cy9kb3ducmV2LnhtbFBLAQIUABQAAAAIAIdO4kAEzjGIQQIAAK8EAAAOAAAAAAAAAAEAIAAAACQB&#10;AABkcnMvZTJvRG9jLnhtbFBLBQYAAAAABgAGAFkBAADXBQAAAAA=&#10;" adj="12960,19440,6241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2215515" cy="1571625"/>
            <wp:effectExtent l="19050" t="0" r="0" b="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0237" cy="157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  <w:r>
        <w:rPr>
          <w:rFonts w:hint="eastAsia"/>
          <w:sz w:val="18"/>
          <w:szCs w:val="18"/>
        </w:rPr>
        <w:t>图5</w:t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rPr>
          <w:sz w:val="18"/>
          <w:szCs w:val="18"/>
        </w:rPr>
      </w:pPr>
      <w:r>
        <w:rPr>
          <w:rFonts w:hint="eastAsia"/>
        </w:rPr>
        <w:drawing>
          <wp:inline distT="0" distB="0" distL="0" distR="0">
            <wp:extent cx="2195195" cy="2352675"/>
            <wp:effectExtent l="19050" t="0" r="0" b="0"/>
            <wp:docPr id="11" name="图片 10" descr="微信图片_2020121709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_20201217092333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247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  <w:r>
        <w:rPr>
          <w:rFonts w:hint="eastAsia"/>
          <w:sz w:val="18"/>
          <w:szCs w:val="18"/>
        </w:rPr>
        <w:t>图6</w:t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rPr>
          <w:sz w:val="18"/>
          <w:szCs w:val="18"/>
        </w:rPr>
      </w:pPr>
      <w:r>
        <w:rPr>
          <w:rFonts w:hint="eastAsia"/>
        </w:rPr>
        <w:drawing>
          <wp:inline distT="0" distB="0" distL="0" distR="0">
            <wp:extent cx="2352675" cy="1791970"/>
            <wp:effectExtent l="19050" t="0" r="9525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9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  <w:r>
        <w:rPr>
          <w:rFonts w:hint="eastAsia"/>
          <w:sz w:val="18"/>
          <w:szCs w:val="18"/>
        </w:rPr>
        <w:t>图7</w:t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rPr>
          <w:sz w:val="18"/>
          <w:szCs w:val="18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127000</wp:posOffset>
                </wp:positionV>
                <wp:extent cx="2743200" cy="7924800"/>
                <wp:effectExtent l="0" t="0" r="0" b="0"/>
                <wp:wrapNone/>
                <wp:docPr id="4" name="文本框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792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after="100" w:afterAutospacing="1" w:line="360" w:lineRule="auto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  <w:shd w:val="clear" w:color="auto" w:fill="8C8C8C"/>
                              </w:rPr>
                              <w:t>6.2.2.5</w:t>
                            </w: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</w:rPr>
                              <w:t>连接电源线（图8、9、10）</w:t>
                            </w:r>
                          </w:p>
                          <w:p>
                            <w:pPr>
                              <w:spacing w:after="100" w:afterAutospacing="1" w:line="300" w:lineRule="auto"/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  <w:t>★</w:t>
                            </w: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</w:rPr>
                              <w:t>不要对电源线施加强力。在弯曲和缠绕时，电缆和电线容易损坏。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djustRightInd/>
                              <w:snapToGrid/>
                              <w:spacing w:after="100" w:afterAutospacing="1" w:line="300" w:lineRule="auto"/>
                              <w:jc w:val="both"/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>在连接电源线之前，将主开关</w:t>
                            </w:r>
                            <w:r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  <w:t>①</w:t>
                            </w: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>拨到“O”（断开）状态。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djustRightInd/>
                              <w:snapToGrid/>
                              <w:spacing w:after="100" w:afterAutospacing="1" w:line="300" w:lineRule="auto"/>
                              <w:jc w:val="both"/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>把电源线插头</w:t>
                            </w:r>
                            <w:r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  <w:t>②</w:t>
                            </w: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>安全地插入到显微镜的电源插座</w:t>
                            </w:r>
                            <w:r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  <w:t>③</w:t>
                            </w: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>上，确保接触良好。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djustRightInd/>
                              <w:snapToGrid/>
                              <w:spacing w:after="100" w:afterAutospacing="1" w:line="300" w:lineRule="auto"/>
                              <w:jc w:val="both"/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>把电源线插头</w:t>
                            </w:r>
                            <w:r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  <w:t>④</w:t>
                            </w: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>安全地插入到供电电源插座</w:t>
                            </w:r>
                            <w:r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  <w:t>⑤</w:t>
                            </w: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>上，确保接触良好。</w:t>
                            </w:r>
                          </w:p>
                          <w:p>
                            <w:pPr>
                              <w:spacing w:after="100" w:afterAutospacing="1" w:line="300" w:lineRule="auto"/>
                              <w:ind w:left="462" w:hanging="462" w:hangingChars="220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  <w:t>★</w:t>
                            </w: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</w:rPr>
                              <w:t>应始终使用本公司提供的电源线，如果丢失或损坏，应选择规格相同的电源线。</w:t>
                            </w:r>
                          </w:p>
                          <w:p>
                            <w:pPr>
                              <w:spacing w:after="100" w:afterAutospacing="1" w:line="300" w:lineRule="auto"/>
                              <w:ind w:left="462" w:hanging="462" w:hangingChars="220"/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  <w:t>★</w:t>
                            </w: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</w:rPr>
                              <w:t>本机采用宽电压，能适应100-240V范围内的电压。</w:t>
                            </w:r>
                          </w:p>
                          <w:p>
                            <w:pPr>
                              <w:spacing w:after="100" w:afterAutospacing="1" w:line="300" w:lineRule="auto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  <w:shd w:val="clear" w:color="auto" w:fill="8C8C8C"/>
                              </w:rPr>
                            </w:pPr>
                          </w:p>
                          <w:p>
                            <w:pPr>
                              <w:spacing w:after="100" w:afterAutospacing="1" w:line="300" w:lineRule="auto"/>
                              <w:ind w:left="462" w:hanging="462" w:hangingChars="220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  <w:shd w:val="clear" w:color="auto" w:fill="8C8C8C"/>
                              </w:rPr>
                              <w:t>6.2.2.6</w:t>
                            </w: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</w:rPr>
                              <w:t>更换保险丝（图9、10）</w:t>
                            </w:r>
                          </w:p>
                          <w:p>
                            <w:pPr>
                              <w:spacing w:after="100" w:afterAutospacing="1" w:line="300" w:lineRule="auto"/>
                              <w:ind w:left="435" w:leftChars="150" w:hanging="105" w:hangingChars="50"/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 xml:space="preserve"> 更换保险丝前，必须将主开关</w:t>
                            </w:r>
                            <w:r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  <w:t>①</w:t>
                            </w: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>拨到“O”（断开）状态，拔掉电源线。在电源插座③上拉出保险丝座更换保险丝（电源插座上标记了保险管位置）。</w:t>
                            </w:r>
                          </w:p>
                          <w:p>
                            <w:pPr>
                              <w:spacing w:after="100" w:afterAutospacing="1" w:line="300" w:lineRule="auto"/>
                              <w:ind w:left="484" w:hanging="484" w:hangingChars="220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70" o:spid="_x0000_s1026" o:spt="202" type="#_x0000_t202" style="position:absolute;left:0pt;margin-left:212.25pt;margin-top:10pt;height:624pt;width:216pt;z-index:251664384;mso-width-relative:page;mso-height-relative:page;" filled="f" stroked="f" coordsize="21600,21600" o:gfxdata="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z&#10;GEhM1wAAAAsBAAAPAAAAAAAAAAEAIAAAACIAAABkcnMvZG93bnJldi54bWxQSwECFAAUAAAACACH&#10;TuJAr2zqGbMBAABfAwAADgAAAAAAAAABACAAAAAmAQAAZHJzL2Uyb0RvYy54bWxQSwUGAAAAAAYA&#10;BgBZAQAAS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after="100" w:afterAutospacing="1" w:line="360" w:lineRule="auto"/>
                        <w:rPr>
                          <w:rFonts w:ascii="微软雅黑" w:hAnsi="微软雅黑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  <w:shd w:val="clear" w:color="auto" w:fill="8C8C8C"/>
                        </w:rPr>
                        <w:t>6.2.2.5</w:t>
                      </w: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</w:rPr>
                        <w:t>连接电源线（图8、9、10）</w:t>
                      </w:r>
                    </w:p>
                    <w:p>
                      <w:pPr>
                        <w:spacing w:after="100" w:afterAutospacing="1" w:line="300" w:lineRule="auto"/>
                        <w:rPr>
                          <w:rFonts w:ascii="微软雅黑" w:hAnsi="微软雅黑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sz w:val="21"/>
                          <w:szCs w:val="21"/>
                        </w:rPr>
                        <w:t>★</w:t>
                      </w: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</w:rPr>
                        <w:t>不要对电源线施加强力。在弯曲和缠绕时，电缆和电线容易损坏。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3"/>
                        </w:numPr>
                        <w:adjustRightInd/>
                        <w:snapToGrid/>
                        <w:spacing w:after="100" w:afterAutospacing="1" w:line="300" w:lineRule="auto"/>
                        <w:jc w:val="both"/>
                        <w:rPr>
                          <w:rFonts w:ascii="微软雅黑" w:hAnsi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>在连接电源线之前，将主开关</w:t>
                      </w:r>
                      <w:r>
                        <w:rPr>
                          <w:rFonts w:ascii="微软雅黑" w:hAnsi="微软雅黑"/>
                          <w:sz w:val="21"/>
                          <w:szCs w:val="21"/>
                        </w:rPr>
                        <w:t>①</w:t>
                      </w: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>拨到“O”（断开）状态。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3"/>
                        </w:numPr>
                        <w:adjustRightInd/>
                        <w:snapToGrid/>
                        <w:spacing w:after="100" w:afterAutospacing="1" w:line="300" w:lineRule="auto"/>
                        <w:jc w:val="both"/>
                        <w:rPr>
                          <w:rFonts w:ascii="微软雅黑" w:hAnsi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>把电源线插头</w:t>
                      </w:r>
                      <w:r>
                        <w:rPr>
                          <w:rFonts w:ascii="微软雅黑" w:hAnsi="微软雅黑"/>
                          <w:sz w:val="21"/>
                          <w:szCs w:val="21"/>
                        </w:rPr>
                        <w:t>②</w:t>
                      </w: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>安全地插入到显微镜的电源插座</w:t>
                      </w:r>
                      <w:r>
                        <w:rPr>
                          <w:rFonts w:ascii="微软雅黑" w:hAnsi="微软雅黑"/>
                          <w:sz w:val="21"/>
                          <w:szCs w:val="21"/>
                        </w:rPr>
                        <w:t>③</w:t>
                      </w: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>上，确保接触良好。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3"/>
                        </w:numPr>
                        <w:adjustRightInd/>
                        <w:snapToGrid/>
                        <w:spacing w:after="100" w:afterAutospacing="1" w:line="300" w:lineRule="auto"/>
                        <w:jc w:val="both"/>
                        <w:rPr>
                          <w:rFonts w:ascii="微软雅黑" w:hAnsi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>把电源线插头</w:t>
                      </w:r>
                      <w:r>
                        <w:rPr>
                          <w:rFonts w:ascii="微软雅黑" w:hAnsi="微软雅黑"/>
                          <w:sz w:val="21"/>
                          <w:szCs w:val="21"/>
                        </w:rPr>
                        <w:t>④</w:t>
                      </w: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>安全地插入到供电电源插座</w:t>
                      </w:r>
                      <w:r>
                        <w:rPr>
                          <w:rFonts w:ascii="微软雅黑" w:hAnsi="微软雅黑"/>
                          <w:sz w:val="21"/>
                          <w:szCs w:val="21"/>
                        </w:rPr>
                        <w:t>⑤</w:t>
                      </w: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>上，确保接触良好。</w:t>
                      </w:r>
                    </w:p>
                    <w:p>
                      <w:pPr>
                        <w:spacing w:after="100" w:afterAutospacing="1" w:line="300" w:lineRule="auto"/>
                        <w:ind w:left="462" w:hanging="462" w:hangingChars="220"/>
                        <w:rPr>
                          <w:rFonts w:ascii="微软雅黑" w:hAnsi="微软雅黑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sz w:val="21"/>
                          <w:szCs w:val="21"/>
                        </w:rPr>
                        <w:t>★</w:t>
                      </w: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</w:rPr>
                        <w:t>应始终使用本公司提供的电源线，如果丢失或损坏，应选择规格相同的电源线。</w:t>
                      </w:r>
                    </w:p>
                    <w:p>
                      <w:pPr>
                        <w:spacing w:after="100" w:afterAutospacing="1" w:line="300" w:lineRule="auto"/>
                        <w:ind w:left="462" w:hanging="462" w:hangingChars="220"/>
                        <w:rPr>
                          <w:rFonts w:ascii="微软雅黑" w:hAnsi="微软雅黑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sz w:val="21"/>
                          <w:szCs w:val="21"/>
                        </w:rPr>
                        <w:t>★</w:t>
                      </w: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</w:rPr>
                        <w:t>本机采用宽电压，能适应100-240V范围内的电压。</w:t>
                      </w:r>
                    </w:p>
                    <w:p>
                      <w:pPr>
                        <w:spacing w:after="100" w:afterAutospacing="1" w:line="300" w:lineRule="auto"/>
                        <w:rPr>
                          <w:rFonts w:ascii="微软雅黑" w:hAnsi="微软雅黑"/>
                          <w:b/>
                          <w:sz w:val="21"/>
                          <w:szCs w:val="21"/>
                          <w:shd w:val="clear" w:color="auto" w:fill="8C8C8C"/>
                        </w:rPr>
                      </w:pPr>
                    </w:p>
                    <w:p>
                      <w:pPr>
                        <w:spacing w:after="100" w:afterAutospacing="1" w:line="300" w:lineRule="auto"/>
                        <w:ind w:left="462" w:hanging="462" w:hangingChars="220"/>
                        <w:rPr>
                          <w:rFonts w:ascii="微软雅黑" w:hAnsi="微软雅黑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  <w:shd w:val="clear" w:color="auto" w:fill="8C8C8C"/>
                        </w:rPr>
                        <w:t>6.2.2.6</w:t>
                      </w: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</w:rPr>
                        <w:t>更换保险丝（图9、10）</w:t>
                      </w:r>
                    </w:p>
                    <w:p>
                      <w:pPr>
                        <w:spacing w:after="100" w:afterAutospacing="1" w:line="300" w:lineRule="auto"/>
                        <w:ind w:left="435" w:leftChars="150" w:hanging="105" w:hangingChars="50"/>
                        <w:rPr>
                          <w:rFonts w:ascii="微软雅黑" w:hAnsi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 xml:space="preserve"> 更换保险丝前，必须将主开关</w:t>
                      </w:r>
                      <w:r>
                        <w:rPr>
                          <w:rFonts w:ascii="微软雅黑" w:hAnsi="微软雅黑"/>
                          <w:sz w:val="21"/>
                          <w:szCs w:val="21"/>
                        </w:rPr>
                        <w:t>①</w:t>
                      </w: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>拨到“O”（断开）状态，拔掉电源线。在电源插座③上拉出保险丝座更换保险丝（电源插座上标记了保险管位置）。</w:t>
                      </w:r>
                    </w:p>
                    <w:p>
                      <w:pPr>
                        <w:spacing w:after="100" w:afterAutospacing="1" w:line="300" w:lineRule="auto"/>
                        <w:ind w:left="484" w:hanging="484" w:hangingChars="220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20" w:lineRule="atLeast"/>
        <w:rPr>
          <w:sz w:val="18"/>
          <w:szCs w:val="18"/>
        </w:rPr>
      </w:pPr>
      <w:r>
        <w:rPr>
          <w:rFonts w:hint="eastAsia"/>
        </w:rPr>
        <w:drawing>
          <wp:inline distT="0" distB="0" distL="0" distR="0">
            <wp:extent cx="2457450" cy="1771650"/>
            <wp:effectExtent l="19050" t="0" r="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  <w:r>
        <w:rPr>
          <w:rFonts w:hint="eastAsia"/>
          <w:sz w:val="18"/>
          <w:szCs w:val="18"/>
        </w:rPr>
        <w:t>图8</w:t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rPr>
          <w:sz w:val="18"/>
          <w:szCs w:val="18"/>
        </w:rPr>
      </w:pPr>
      <w:r>
        <w:rPr>
          <w:rFonts w:hint="eastAsia"/>
        </w:rPr>
        <w:drawing>
          <wp:inline distT="0" distB="0" distL="0" distR="0">
            <wp:extent cx="2428875" cy="1743075"/>
            <wp:effectExtent l="19050" t="0" r="9525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  <w:r>
        <w:rPr>
          <w:rFonts w:hint="eastAsia"/>
          <w:sz w:val="18"/>
          <w:szCs w:val="18"/>
        </w:rPr>
        <w:t>图9</w:t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rPr>
          <w:sz w:val="18"/>
          <w:szCs w:val="18"/>
        </w:rPr>
      </w:pPr>
      <w:r>
        <w:rPr>
          <w:rFonts w:hint="eastAsia"/>
        </w:rPr>
        <w:drawing>
          <wp:inline distT="0" distB="0" distL="0" distR="0">
            <wp:extent cx="2352675" cy="1447800"/>
            <wp:effectExtent l="19050" t="0" r="9525" b="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  <w:r>
        <w:rPr>
          <w:rFonts w:hint="eastAsia"/>
          <w:sz w:val="18"/>
          <w:szCs w:val="18"/>
        </w:rPr>
        <w:t>图10</w:t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rPr>
          <w:sz w:val="18"/>
          <w:szCs w:val="18"/>
        </w:rPr>
      </w:pPr>
    </w:p>
    <w:p>
      <w:pPr>
        <w:spacing w:after="0" w:line="220" w:lineRule="atLeast"/>
        <w:rPr>
          <w:sz w:val="18"/>
          <w:szCs w:val="18"/>
        </w:rPr>
      </w:pPr>
    </w:p>
    <w:p>
      <w:pPr>
        <w:spacing w:after="0" w:line="220" w:lineRule="atLeast"/>
        <w:rPr>
          <w:sz w:val="18"/>
          <w:szCs w:val="18"/>
        </w:rPr>
      </w:pPr>
    </w:p>
    <w:p>
      <w:pPr>
        <w:spacing w:after="0" w:line="220" w:lineRule="atLeast"/>
        <w:rPr>
          <w:sz w:val="18"/>
          <w:szCs w:val="18"/>
        </w:rPr>
      </w:pPr>
    </w:p>
    <w:p>
      <w:pPr>
        <w:spacing w:after="0" w:line="220" w:lineRule="atLeast"/>
        <w:rPr>
          <w:sz w:val="18"/>
          <w:szCs w:val="18"/>
        </w:rPr>
      </w:pPr>
    </w:p>
    <w:p>
      <w:pPr>
        <w:spacing w:after="0" w:line="220" w:lineRule="atLeast"/>
        <w:rPr>
          <w:sz w:val="18"/>
          <w:szCs w:val="18"/>
        </w:rPr>
      </w:pPr>
    </w:p>
    <w:p>
      <w:pPr>
        <w:spacing w:after="0" w:line="220" w:lineRule="atLeast"/>
        <w:rPr>
          <w:sz w:val="18"/>
          <w:szCs w:val="18"/>
        </w:rPr>
      </w:pPr>
    </w:p>
    <w:p>
      <w:pPr>
        <w:spacing w:after="0" w:line="220" w:lineRule="atLeast"/>
        <w:rPr>
          <w:sz w:val="18"/>
          <w:szCs w:val="18"/>
        </w:rPr>
      </w:pPr>
    </w:p>
    <w:p>
      <w:pPr>
        <w:spacing w:after="0" w:line="220" w:lineRule="atLeast"/>
        <w:rPr>
          <w:sz w:val="18"/>
          <w:szCs w:val="18"/>
        </w:rPr>
      </w:pPr>
    </w:p>
    <w:p>
      <w:pPr>
        <w:spacing w:after="0" w:line="220" w:lineRule="atLeast"/>
        <w:rPr>
          <w:sz w:val="18"/>
          <w:szCs w:val="18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-181610</wp:posOffset>
                </wp:positionV>
                <wp:extent cx="2988945" cy="8420100"/>
                <wp:effectExtent l="0" t="0" r="0" b="0"/>
                <wp:wrapNone/>
                <wp:docPr id="730" name="文本框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945" cy="842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after="100" w:afterAutospacing="1" w:line="360" w:lineRule="auto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  <w:shd w:val="clear" w:color="auto" w:fill="8C8C8C"/>
                              </w:rPr>
                              <w:t>6.2.2.7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</w:rPr>
                              <w:t xml:space="preserve"> 安装和更换灯泡（图11、12）</w:t>
                            </w:r>
                          </w:p>
                          <w:p>
                            <w:pPr>
                              <w:spacing w:after="100" w:afterAutospacing="1"/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sym w:font="Wingdings" w:char="F0B2"/>
                            </w: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 xml:space="preserve"> 请使用指定的灯泡。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4"/>
                              </w:numPr>
                              <w:adjustRightInd/>
                              <w:snapToGrid/>
                              <w:spacing w:after="100" w:afterAutospacing="1"/>
                              <w:jc w:val="both"/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>把序号①螺钉拧出。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4"/>
                              </w:numPr>
                              <w:adjustRightInd/>
                              <w:snapToGrid/>
                              <w:spacing w:after="100" w:afterAutospacing="1"/>
                              <w:jc w:val="both"/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>用纱布或其它保护材料紧握灯泡②，将灯泡拔出，换上新灯泡，灯泡插脚尽可能插入灯座。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4"/>
                              </w:numPr>
                              <w:adjustRightInd/>
                              <w:snapToGrid/>
                              <w:spacing w:after="0" w:line="300" w:lineRule="auto"/>
                              <w:jc w:val="both"/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>使用中或使用后更换灯泡</w:t>
                            </w:r>
                          </w:p>
                          <w:p>
                            <w:pPr>
                              <w:spacing w:after="100" w:afterAutospacing="1"/>
                              <w:ind w:left="440" w:leftChars="200"/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>在使用中或刚刚使用后，灯泡、灯座表面和周围会变得很热。将主开关拨到“O”（断开），拔出电源插头。确信需换灯泡、灯室和周围都冷却下来之后，才能更换灯泡。</w:t>
                            </w:r>
                          </w:p>
                          <w:p>
                            <w:pPr>
                              <w:spacing w:after="100" w:afterAutospacing="1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</w:rPr>
                              <w:sym w:font="Wingdings" w:char="F0AB"/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</w:rPr>
                              <w:t xml:space="preserve"> 请轻轻插入灯泡，过分挤压会损坏灯泡。</w:t>
                            </w:r>
                          </w:p>
                          <w:p>
                            <w:pPr>
                              <w:spacing w:after="100" w:afterAutospacing="1"/>
                              <w:ind w:left="309" w:hanging="309" w:hangingChars="147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</w:rPr>
                              <w:sym w:font="Wingdings" w:char="F0AB"/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</w:rPr>
                              <w:t xml:space="preserve"> 为了防止减少灯泡使用寿命或灯泡爆裂，不要用赤手触摸灯泡。如果不慎在灯泡表面留下指纹，用干净的软布擦净。</w:t>
                            </w:r>
                          </w:p>
                          <w:p>
                            <w:pPr>
                              <w:rPr>
                                <w:rFonts w:ascii="宋体" w:hAnsi="宋体"/>
                                <w:color w:val="000000"/>
                              </w:rPr>
                            </w:pPr>
                          </w:p>
                          <w:p>
                            <w:pPr>
                              <w:rPr>
                                <w:rFonts w:ascii="宋体" w:hAnsi="宋体"/>
                                <w:color w:val="000000"/>
                              </w:rPr>
                            </w:pPr>
                          </w:p>
                          <w:p>
                            <w:pPr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</w:p>
                          <w:p>
                            <w:pPr>
                              <w:spacing w:after="100" w:afterAutospacing="1"/>
                            </w:pPr>
                          </w:p>
                          <w:p>
                            <w:pPr>
                              <w:spacing w:after="100" w:afterAutospacing="1"/>
                              <w:ind w:left="220" w:hanging="220" w:hangingChars="100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83" o:spid="_x0000_s1026" o:spt="202" type="#_x0000_t202" style="position:absolute;left:0pt;margin-left:204.75pt;margin-top:-14.3pt;height:663pt;width:235.35pt;z-index:251665408;mso-width-relative:page;mso-height-relative:page;" filled="f" stroked="f" coordsize="21600,21600" o:gfxdata="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P2NKBvZAAAADAEAAA8AAAAAAAAAAQAgAAAAIgAAAGRycy9kb3ducmV2LnhtbFBLAQIUABQA&#10;AAAIAIdO4kCP4fDotgEAAGEDAAAOAAAAAAAAAAEAIAAAACgBAABkcnMvZTJvRG9jLnhtbFBLBQYA&#10;AAAABgAGAFkBAABQ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after="100" w:afterAutospacing="1" w:line="360" w:lineRule="auto"/>
                        <w:rPr>
                          <w:rFonts w:ascii="微软雅黑" w:hAnsi="微软雅黑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  <w:shd w:val="clear" w:color="auto" w:fill="8C8C8C"/>
                        </w:rPr>
                        <w:t>6.2.2.7</w:t>
                      </w: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</w:rPr>
                        <w:t xml:space="preserve"> 安装和更换灯泡（图11、12）</w:t>
                      </w:r>
                    </w:p>
                    <w:p>
                      <w:pPr>
                        <w:spacing w:after="100" w:afterAutospacing="1"/>
                        <w:rPr>
                          <w:rFonts w:ascii="微软雅黑" w:hAnsi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sym w:font="Wingdings" w:char="F0B2"/>
                      </w: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 xml:space="preserve"> 请使用指定的灯泡。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4"/>
                        </w:numPr>
                        <w:adjustRightInd/>
                        <w:snapToGrid/>
                        <w:spacing w:after="100" w:afterAutospacing="1"/>
                        <w:jc w:val="both"/>
                        <w:rPr>
                          <w:rFonts w:ascii="微软雅黑" w:hAnsi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>把序号①螺钉拧出。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4"/>
                        </w:numPr>
                        <w:adjustRightInd/>
                        <w:snapToGrid/>
                        <w:spacing w:after="100" w:afterAutospacing="1"/>
                        <w:jc w:val="both"/>
                        <w:rPr>
                          <w:rFonts w:ascii="微软雅黑" w:hAnsi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>用纱布或其它保护材料紧握灯泡②，将灯泡拔出，换上新灯泡，灯泡插脚尽可能插入灯座。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4"/>
                        </w:numPr>
                        <w:adjustRightInd/>
                        <w:snapToGrid/>
                        <w:spacing w:after="0" w:line="300" w:lineRule="auto"/>
                        <w:jc w:val="both"/>
                        <w:rPr>
                          <w:rFonts w:ascii="微软雅黑" w:hAnsi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>使用中或使用后更换灯泡</w:t>
                      </w:r>
                    </w:p>
                    <w:p>
                      <w:pPr>
                        <w:spacing w:after="100" w:afterAutospacing="1"/>
                        <w:ind w:left="440" w:leftChars="200"/>
                        <w:rPr>
                          <w:rFonts w:ascii="微软雅黑" w:hAnsi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>在使用中或刚刚使用后，灯泡、灯座表面和周围会变得很热。将主开关拨到“O”（断开），拔出电源插头。确信需换灯泡、灯室和周围都冷却下来之后，才能更换灯泡。</w:t>
                      </w:r>
                    </w:p>
                    <w:p>
                      <w:pPr>
                        <w:spacing w:after="100" w:afterAutospacing="1"/>
                        <w:rPr>
                          <w:rFonts w:ascii="微软雅黑" w:hAnsi="微软雅黑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</w:rPr>
                        <w:sym w:font="Wingdings" w:char="F0AB"/>
                      </w: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</w:rPr>
                        <w:t xml:space="preserve"> 请轻轻插入灯泡，过分挤压会损坏灯泡。</w:t>
                      </w:r>
                    </w:p>
                    <w:p>
                      <w:pPr>
                        <w:spacing w:after="100" w:afterAutospacing="1"/>
                        <w:ind w:left="309" w:hanging="309" w:hangingChars="147"/>
                        <w:rPr>
                          <w:rFonts w:ascii="微软雅黑" w:hAnsi="微软雅黑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</w:rPr>
                        <w:sym w:font="Wingdings" w:char="F0AB"/>
                      </w: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</w:rPr>
                        <w:t xml:space="preserve"> 为了防止减少灯泡使用寿命或灯泡爆裂，不要用赤手触摸灯泡。如果不慎在灯泡表面留下指纹，用干净的软布擦净。</w:t>
                      </w:r>
                    </w:p>
                    <w:p>
                      <w:pPr>
                        <w:rPr>
                          <w:rFonts w:ascii="宋体" w:hAnsi="宋体"/>
                          <w:color w:val="000000"/>
                        </w:rPr>
                      </w:pPr>
                    </w:p>
                    <w:p>
                      <w:pPr>
                        <w:rPr>
                          <w:rFonts w:ascii="宋体" w:hAnsi="宋体"/>
                          <w:color w:val="000000"/>
                        </w:rPr>
                      </w:pPr>
                    </w:p>
                    <w:p>
                      <w:pPr>
                        <w:rPr>
                          <w:rFonts w:ascii="宋体" w:hAnsi="宋体"/>
                          <w:b/>
                          <w:szCs w:val="21"/>
                        </w:rPr>
                      </w:pPr>
                    </w:p>
                    <w:p>
                      <w:pPr>
                        <w:spacing w:after="100" w:afterAutospacing="1"/>
                      </w:pPr>
                    </w:p>
                    <w:p>
                      <w:pPr>
                        <w:spacing w:after="100" w:afterAutospacing="1"/>
                        <w:ind w:left="220" w:hanging="220" w:hangingChars="10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2353945" cy="1666875"/>
            <wp:effectExtent l="19050" t="0" r="7954" b="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246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  <w:r>
        <w:rPr>
          <w:rFonts w:hint="eastAsia"/>
          <w:sz w:val="18"/>
          <w:szCs w:val="18"/>
        </w:rPr>
        <w:t>图11</w:t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rPr>
          <w:sz w:val="18"/>
          <w:szCs w:val="18"/>
        </w:rPr>
      </w:pPr>
      <w:r>
        <w:rPr>
          <w:rFonts w:hint="eastAsia"/>
        </w:rPr>
        <w:drawing>
          <wp:inline distT="0" distB="0" distL="0" distR="0">
            <wp:extent cx="2352675" cy="1685925"/>
            <wp:effectExtent l="1905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68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  <w:r>
        <w:rPr>
          <w:rFonts w:hint="eastAsia"/>
          <w:sz w:val="18"/>
          <w:szCs w:val="18"/>
        </w:rPr>
        <w:t>图12</w:t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rPr>
          <w:sz w:val="18"/>
          <w:szCs w:val="18"/>
        </w:rPr>
      </w:pPr>
    </w:p>
    <w:p>
      <w:pPr>
        <w:spacing w:line="220" w:lineRule="atLeast"/>
        <w:rPr>
          <w:sz w:val="18"/>
          <w:szCs w:val="18"/>
        </w:rPr>
      </w:pPr>
    </w:p>
    <w:p>
      <w:pPr>
        <w:spacing w:line="220" w:lineRule="atLeast"/>
        <w:rPr>
          <w:sz w:val="18"/>
          <w:szCs w:val="18"/>
        </w:rPr>
      </w:pPr>
    </w:p>
    <w:p>
      <w:pPr>
        <w:spacing w:line="220" w:lineRule="atLeast"/>
        <w:rPr>
          <w:sz w:val="18"/>
          <w:szCs w:val="18"/>
        </w:rPr>
      </w:pPr>
    </w:p>
    <w:p>
      <w:pPr>
        <w:spacing w:line="220" w:lineRule="atLeast"/>
        <w:rPr>
          <w:sz w:val="18"/>
          <w:szCs w:val="18"/>
        </w:rPr>
      </w:pPr>
    </w:p>
    <w:p>
      <w:pPr>
        <w:spacing w:line="220" w:lineRule="atLeast"/>
        <w:rPr>
          <w:sz w:val="18"/>
          <w:szCs w:val="18"/>
        </w:rPr>
      </w:pPr>
    </w:p>
    <w:p>
      <w:pPr>
        <w:spacing w:line="220" w:lineRule="atLeast"/>
        <w:rPr>
          <w:sz w:val="18"/>
          <w:szCs w:val="18"/>
        </w:rPr>
      </w:pPr>
    </w:p>
    <w:p>
      <w:pPr>
        <w:spacing w:line="220" w:lineRule="atLeast"/>
        <w:rPr>
          <w:sz w:val="18"/>
          <w:szCs w:val="18"/>
        </w:rPr>
      </w:pPr>
    </w:p>
    <w:p>
      <w:pPr>
        <w:spacing w:line="220" w:lineRule="atLeast"/>
        <w:rPr>
          <w:sz w:val="18"/>
          <w:szCs w:val="18"/>
        </w:rPr>
      </w:pPr>
    </w:p>
    <w:p>
      <w:pPr>
        <w:spacing w:line="220" w:lineRule="atLeast"/>
      </w:pPr>
    </w:p>
    <w:p>
      <w:pPr>
        <w:spacing w:line="220" w:lineRule="atLeast"/>
        <w:jc w:val="center"/>
      </w:pPr>
    </w:p>
    <w:p>
      <w:pPr>
        <w:spacing w:line="220" w:lineRule="atLeast"/>
        <w:jc w:val="center"/>
      </w:pPr>
    </w:p>
    <w:p>
      <w:pPr>
        <w:spacing w:line="220" w:lineRule="atLeast"/>
        <w:jc w:val="center"/>
      </w:pPr>
    </w:p>
    <w:p>
      <w:pPr>
        <w:pStyle w:val="6"/>
        <w:rPr>
          <w:rStyle w:val="14"/>
          <w:rFonts w:ascii="微软雅黑" w:hAnsi="微软雅黑" w:eastAsia="微软雅黑"/>
          <w:b/>
          <w:bCs w:val="0"/>
          <w:sz w:val="24"/>
          <w:szCs w:val="24"/>
        </w:rPr>
      </w:pPr>
      <w:bookmarkStart w:id="9" w:name="_Toc65657307"/>
      <w:r>
        <w:rPr>
          <w:rStyle w:val="14"/>
          <w:rFonts w:hint="eastAsia" w:ascii="微软雅黑" w:hAnsi="微软雅黑" w:eastAsia="微软雅黑"/>
          <w:b/>
          <w:bCs w:val="0"/>
          <w:sz w:val="24"/>
          <w:szCs w:val="24"/>
        </w:rPr>
        <w:t>7、调节与操作</w:t>
      </w:r>
      <w:bookmarkEnd w:id="9"/>
    </w:p>
    <w:p>
      <w:pPr>
        <w:spacing w:line="220" w:lineRule="atLeas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7.1调节装置示意图（图13、图14）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4132580" cy="4768215"/>
            <wp:effectExtent l="19050" t="0" r="1050" b="0"/>
            <wp:docPr id="22" name="图片 21" descr="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1.3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2800" cy="47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20" w:lineRule="atLeast"/>
        <w:ind w:firstLine="2970" w:firstLineChars="1650"/>
        <w:rPr>
          <w:sz w:val="18"/>
          <w:szCs w:val="18"/>
        </w:rPr>
      </w:pPr>
      <w:r>
        <w:rPr>
          <w:rFonts w:hint="eastAsia"/>
          <w:sz w:val="18"/>
          <w:szCs w:val="18"/>
        </w:rPr>
        <w:t>图13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3744595" cy="4144010"/>
            <wp:effectExtent l="19050" t="0" r="7974" b="0"/>
            <wp:docPr id="23" name="图片 22" descr="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1.4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033" cy="416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20" w:lineRule="atLeast"/>
        <w:ind w:firstLine="2970" w:firstLineChars="1650"/>
        <w:rPr>
          <w:sz w:val="18"/>
          <w:szCs w:val="18"/>
        </w:rPr>
      </w:pPr>
      <w:r>
        <w:rPr>
          <w:rFonts w:hint="eastAsia"/>
          <w:sz w:val="18"/>
          <w:szCs w:val="18"/>
        </w:rPr>
        <w:t>图14</w:t>
      </w:r>
    </w:p>
    <w:p>
      <w:pPr>
        <w:spacing w:line="220" w:lineRule="atLeas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7.2操作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7.2.1数码部分操作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7.2.1.1显示屏按键功能操作（图15：显示屏从左至右）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5274310" cy="685800"/>
            <wp:effectExtent l="19050" t="0" r="2540" b="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220" w:lineRule="atLeast"/>
        <w:ind w:firstLine="3885" w:firstLineChars="185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图15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①：在浏览模式下：刻度颜色+键</w:t>
      </w: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171450" cy="180975"/>
            <wp:effectExtent l="19050" t="0" r="0" b="0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sz w:val="21"/>
          <w:szCs w:val="21"/>
        </w:rPr>
        <w:t>；在菜单和回放模式下：向上键</w:t>
      </w: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171450" cy="161925"/>
            <wp:effectExtent l="19050" t="0" r="0" b="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sz w:val="21"/>
          <w:szCs w:val="21"/>
        </w:rPr>
        <w:t>；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②：在浏览模式下：刻度颜色-键</w:t>
      </w: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190500" cy="161925"/>
            <wp:effectExtent l="19050" t="0" r="0" b="0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sz w:val="21"/>
          <w:szCs w:val="21"/>
        </w:rPr>
        <w:t>；在菜单和回放模式下：向下键</w:t>
      </w: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171450" cy="152400"/>
            <wp:effectExtent l="1905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sz w:val="21"/>
          <w:szCs w:val="21"/>
        </w:rPr>
        <w:t>；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③：在浏览模式下：刻度模式+键</w:t>
      </w: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180975" cy="142875"/>
            <wp:effectExtent l="19050" t="0" r="952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sz w:val="21"/>
          <w:szCs w:val="21"/>
        </w:rPr>
        <w:t>；在菜单和回放模式下：向左键</w:t>
      </w: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161925" cy="142875"/>
            <wp:effectExtent l="19050" t="0" r="952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sz w:val="21"/>
          <w:szCs w:val="21"/>
        </w:rPr>
        <w:t>；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④：在浏览模式下：刻度模式-键</w:t>
      </w: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142875" cy="171450"/>
            <wp:effectExtent l="19050" t="0" r="9525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sz w:val="21"/>
          <w:szCs w:val="21"/>
        </w:rPr>
        <w:t>；在菜单和回放模式下：向右键</w:t>
      </w: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152400" cy="152400"/>
            <wp:effectExtent l="1905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sz w:val="21"/>
          <w:szCs w:val="21"/>
        </w:rPr>
        <w:t>；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⑤：在浏览模式下：短按为模式切换键（录像模式、拍照模式、回放模式）</w:t>
      </w: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171450" cy="161925"/>
            <wp:effectExtent l="1905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sz w:val="21"/>
          <w:szCs w:val="21"/>
        </w:rPr>
        <w:t>；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⑥：在浏览模式下：拍照、录像键</w:t>
      </w: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209550" cy="152400"/>
            <wp:effectExtent l="1905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sz w:val="21"/>
          <w:szCs w:val="21"/>
        </w:rPr>
        <w:t>；在菜单和回放模式下：为OK确认键</w:t>
      </w:r>
      <w:r>
        <w:rPr>
          <w:rFonts w:hint="eastAsia" w:ascii="微软雅黑" w:hAnsi="微软雅黑"/>
          <w:sz w:val="21"/>
          <w:szCs w:val="21"/>
        </w:rPr>
        <w:drawing>
          <wp:inline distT="0" distB="0" distL="0" distR="0">
            <wp:extent cx="171450" cy="161925"/>
            <wp:effectExtent l="1905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/>
          <w:sz w:val="21"/>
          <w:szCs w:val="21"/>
        </w:rPr>
        <w:t>。</w:t>
      </w:r>
    </w:p>
    <w:p>
      <w:pPr>
        <w:spacing w:line="220" w:lineRule="atLeast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75565</wp:posOffset>
                </wp:positionV>
                <wp:extent cx="2971800" cy="9077960"/>
                <wp:effectExtent l="0" t="0" r="0" b="0"/>
                <wp:wrapNone/>
                <wp:docPr id="12" name="文本框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832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after="100" w:afterAutospacing="1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  <w:shd w:val="clear" w:color="auto" w:fill="8C8C8C"/>
                              </w:rPr>
                              <w:t>7.2.2.1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</w:rPr>
                              <w:t xml:space="preserve"> 照明的调节　（图16、17）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djustRightInd/>
                              <w:snapToGrid/>
                              <w:spacing w:after="100" w:afterAutospacing="1" w:line="300" w:lineRule="auto"/>
                              <w:jc w:val="both"/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>接通电源，将显微镜体右下方的主开关①拨到“－”（接通）状态。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djustRightInd/>
                              <w:snapToGrid/>
                              <w:spacing w:after="100" w:afterAutospacing="1" w:line="300" w:lineRule="auto"/>
                              <w:jc w:val="both"/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>按图示方向转动光强旋钮②，调节光照亮度。</w:t>
                            </w:r>
                          </w:p>
                          <w:p>
                            <w:pPr>
                              <w:spacing w:after="100" w:afterAutospacing="1"/>
                              <w:rPr>
                                <w:rFonts w:ascii="微软雅黑" w:hAnsi="微软雅黑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bCs/>
                                <w:sz w:val="21"/>
                                <w:szCs w:val="21"/>
                                <w:shd w:val="clear" w:color="auto" w:fill="8C8C8C"/>
                              </w:rPr>
                              <w:t>7.2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/>
                                <w:sz w:val="21"/>
                                <w:szCs w:val="21"/>
                                <w:shd w:val="clear" w:color="auto" w:fill="8C8C8C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/>
                                <w:sz w:val="21"/>
                                <w:szCs w:val="21"/>
                                <w:shd w:val="clear" w:color="auto" w:fill="8C8C8C"/>
                              </w:rPr>
                              <w:t>2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/>
                                <w:sz w:val="21"/>
                                <w:szCs w:val="21"/>
                                <w:shd w:val="clear" w:color="auto" w:fill="8C8C8C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/>
                                <w:sz w:val="21"/>
                                <w:szCs w:val="21"/>
                                <w:shd w:val="clear" w:color="auto" w:fill="8C8C8C"/>
                              </w:rPr>
                              <w:t>2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标本的安放（图18）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adjustRightInd/>
                              <w:snapToGrid/>
                              <w:spacing w:after="100" w:afterAutospacing="1" w:line="300" w:lineRule="auto"/>
                              <w:jc w:val="both"/>
                              <w:rPr>
                                <w:rFonts w:ascii="微软雅黑" w:hAnsi="微软雅黑"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Cs/>
                                <w:sz w:val="21"/>
                                <w:szCs w:val="21"/>
                              </w:rPr>
                              <w:t>将盖切片安放在机械载物台中心，用活动卡爪将样品轻轻夹住。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napToGrid/>
                              <w:spacing w:after="100" w:afterAutospacing="1" w:line="300" w:lineRule="auto"/>
                              <w:jc w:val="both"/>
                              <w:rPr>
                                <w:rFonts w:ascii="微软雅黑" w:hAnsi="微软雅黑"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Cs/>
                                <w:sz w:val="21"/>
                                <w:szCs w:val="21"/>
                              </w:rPr>
                              <w:t>旋转机械式移动尺上的横、纵向调节手轮①，将样品移至所需的位置。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djustRightInd/>
                              <w:snapToGrid/>
                              <w:spacing w:after="100" w:afterAutospacing="1"/>
                              <w:jc w:val="both"/>
                              <w:rPr>
                                <w:rFonts w:ascii="微软雅黑" w:hAnsi="微软雅黑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bCs/>
                                <w:sz w:val="21"/>
                                <w:szCs w:val="21"/>
                              </w:rPr>
                              <w:t>更换物镜时要小心。在用短工作距离的物镜观察完标本后，需要更换物镜时，物镜可能会与标本相碰。</w:t>
                            </w:r>
                          </w:p>
                          <w:p>
                            <w:pPr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  <w:shd w:val="clear" w:color="auto" w:fill="8C8C8C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  <w:shd w:val="clear" w:color="auto" w:fill="8C8C8C"/>
                              </w:rPr>
                              <w:t>7.2.2.3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</w:rPr>
                              <w:t xml:space="preserve"> 调焦（图19）</w:t>
                            </w:r>
                          </w:p>
                          <w:p>
                            <w:pPr>
                              <w:spacing w:line="300" w:lineRule="auto"/>
                              <w:ind w:left="359" w:hanging="359" w:hangingChars="171"/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>1、</w:t>
                            </w:r>
                            <w:r>
                              <w:rPr>
                                <w:rFonts w:hint="eastAsia" w:ascii="微软雅黑" w:hAnsi="微软雅黑"/>
                                <w:bCs/>
                                <w:sz w:val="21"/>
                                <w:szCs w:val="21"/>
                              </w:rPr>
                              <w:t>用10×物镜调焦，为防止标本和物镜相碰，应先使机械载物台上升，使标本和物镜靠近，然后再使标本和物镜分离，在相离过程中达到调焦目的。</w:t>
                            </w:r>
                          </w:p>
                          <w:p>
                            <w:pPr>
                              <w:spacing w:line="300" w:lineRule="auto"/>
                              <w:ind w:left="330" w:leftChars="150"/>
                              <w:rPr>
                                <w:rFonts w:ascii="微软雅黑" w:hAnsi="微软雅黑"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Cs/>
                                <w:sz w:val="21"/>
                                <w:szCs w:val="21"/>
                              </w:rPr>
                              <w:t>操作者可先缓慢逆向旋转粗动手轮</w:t>
                            </w:r>
                            <w:r>
                              <w:rPr>
                                <w:rFonts w:ascii="微软雅黑" w:hAnsi="微软雅黑"/>
                                <w:bCs/>
                                <w:sz w:val="21"/>
                                <w:szCs w:val="21"/>
                              </w:rPr>
                              <w:t>①</w:t>
                            </w:r>
                            <w:r>
                              <w:rPr>
                                <w:rFonts w:hint="eastAsia" w:ascii="微软雅黑" w:hAnsi="微软雅黑"/>
                                <w:bCs/>
                                <w:sz w:val="21"/>
                                <w:szCs w:val="21"/>
                              </w:rPr>
                              <w:t>，使标本下降，同时在10×目镜里搜索图像，最后用微调焦手轮</w:t>
                            </w:r>
                            <w:r>
                              <w:rPr>
                                <w:rFonts w:ascii="微软雅黑" w:hAnsi="微软雅黑"/>
                                <w:bCs/>
                                <w:sz w:val="21"/>
                                <w:szCs w:val="21"/>
                              </w:rPr>
                              <w:t>②</w:t>
                            </w:r>
                            <w:r>
                              <w:rPr>
                                <w:rFonts w:hint="eastAsia" w:ascii="微软雅黑" w:hAnsi="微软雅黑"/>
                                <w:bCs/>
                                <w:sz w:val="21"/>
                                <w:szCs w:val="21"/>
                              </w:rPr>
                              <w:t>精细调焦。此时转换至其它倍率物镜，可达到齐焦而无碰坏标本的危险。</w:t>
                            </w:r>
                          </w:p>
                          <w:p>
                            <w:pPr>
                              <w:ind w:left="315" w:hanging="315" w:hangingChars="150"/>
                              <w:rPr>
                                <w:rFonts w:ascii="微软雅黑" w:hAnsi="微软雅黑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bCs/>
                                <w:sz w:val="21"/>
                                <w:szCs w:val="21"/>
                              </w:rPr>
                              <w:sym w:font="Wingdings" w:char="F0AB"/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如需要机械载物台在垂直方向固定在某个位置，可通过锁紧套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/>
                                <w:sz w:val="21"/>
                                <w:szCs w:val="21"/>
                              </w:rPr>
                              <w:t>③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/>
                                <w:sz w:val="21"/>
                                <w:szCs w:val="21"/>
                              </w:rPr>
                              <w:t>进行固定，以方便观察。</w:t>
                            </w:r>
                          </w:p>
                          <w:p>
                            <w:pPr>
                              <w:rPr>
                                <w:b/>
                                <w:sz w:val="24"/>
                                <w:shd w:val="clear" w:color="auto" w:fill="8C8C8C"/>
                              </w:rPr>
                            </w:pPr>
                          </w:p>
                          <w:p>
                            <w:pPr>
                              <w:ind w:left="485" w:hanging="485" w:hangingChars="245"/>
                              <w:rPr>
                                <w:rFonts w:ascii="宋体" w:hAnsi="宋体"/>
                                <w:bCs/>
                                <w:w w:val="90"/>
                                <w:szCs w:val="21"/>
                              </w:rPr>
                            </w:pPr>
                          </w:p>
                          <w:p>
                            <w:pPr>
                              <w:spacing w:after="100" w:afterAutospacing="1"/>
                              <w:ind w:left="440" w:hanging="440" w:hangingChars="200"/>
                            </w:pPr>
                          </w:p>
                          <w:p>
                            <w:pPr>
                              <w:spacing w:after="100" w:afterAutospacing="1"/>
                              <w:rPr>
                                <w:b/>
                                <w:sz w:val="24"/>
                                <w:shd w:val="clear" w:color="auto" w:fill="8C8C8C"/>
                              </w:rPr>
                            </w:pPr>
                          </w:p>
                          <w:p>
                            <w:pPr>
                              <w:spacing w:after="100" w:afterAutospacing="1"/>
                              <w:ind w:left="440" w:hanging="440" w:hangingChars="200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22" o:spid="_x0000_s1026" o:spt="202" type="#_x0000_t202" style="position:absolute;left:0pt;margin-left:189.75pt;margin-top:5.95pt;height:714.8pt;width:234pt;z-index:251666432;mso-width-relative:page;mso-height-relative:page;" filled="f" stroked="f" coordsize="21600,21600" o:gfxdata="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IF9ykvYAAAACwEAAA8AAAAAAAAAAQAgAAAAIgAAAGRycy9kb3ducmV2LnhtbFBLAQIUABQAAAAI&#10;AIdO4kDWvVHotAEAAGA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after="100" w:afterAutospacing="1"/>
                        <w:rPr>
                          <w:rFonts w:ascii="微软雅黑" w:hAnsi="微软雅黑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  <w:shd w:val="clear" w:color="auto" w:fill="8C8C8C"/>
                        </w:rPr>
                        <w:t>7.2.2.1</w:t>
                      </w: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</w:rPr>
                        <w:t xml:space="preserve"> 照明的调节　（图16、17）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5"/>
                        </w:numPr>
                        <w:adjustRightInd/>
                        <w:snapToGrid/>
                        <w:spacing w:after="100" w:afterAutospacing="1" w:line="300" w:lineRule="auto"/>
                        <w:jc w:val="both"/>
                        <w:rPr>
                          <w:rFonts w:ascii="微软雅黑" w:hAnsi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>接通电源，将显微镜体右下方的主开关①拨到“－”（接通）状态。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5"/>
                        </w:numPr>
                        <w:adjustRightInd/>
                        <w:snapToGrid/>
                        <w:spacing w:after="100" w:afterAutospacing="1" w:line="300" w:lineRule="auto"/>
                        <w:jc w:val="both"/>
                        <w:rPr>
                          <w:rFonts w:ascii="微软雅黑" w:hAnsi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>按图示方向转动光强旋钮②，调节光照亮度。</w:t>
                      </w:r>
                    </w:p>
                    <w:p>
                      <w:pPr>
                        <w:spacing w:after="100" w:afterAutospacing="1"/>
                        <w:rPr>
                          <w:rFonts w:ascii="微软雅黑" w:hAnsi="微软雅黑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bCs/>
                          <w:sz w:val="21"/>
                          <w:szCs w:val="21"/>
                          <w:shd w:val="clear" w:color="auto" w:fill="8C8C8C"/>
                        </w:rPr>
                        <w:t>7.2</w:t>
                      </w:r>
                      <w:r>
                        <w:rPr>
                          <w:rFonts w:ascii="微软雅黑" w:hAnsi="微软雅黑"/>
                          <w:b/>
                          <w:bCs/>
                          <w:sz w:val="21"/>
                          <w:szCs w:val="21"/>
                          <w:shd w:val="clear" w:color="auto" w:fill="8C8C8C"/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bCs/>
                          <w:sz w:val="21"/>
                          <w:szCs w:val="21"/>
                          <w:shd w:val="clear" w:color="auto" w:fill="8C8C8C"/>
                        </w:rPr>
                        <w:t>2</w:t>
                      </w:r>
                      <w:r>
                        <w:rPr>
                          <w:rFonts w:ascii="微软雅黑" w:hAnsi="微软雅黑"/>
                          <w:b/>
                          <w:bCs/>
                          <w:sz w:val="21"/>
                          <w:szCs w:val="21"/>
                          <w:shd w:val="clear" w:color="auto" w:fill="8C8C8C"/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bCs/>
                          <w:sz w:val="21"/>
                          <w:szCs w:val="21"/>
                          <w:shd w:val="clear" w:color="auto" w:fill="8C8C8C"/>
                        </w:rPr>
                        <w:t>2</w:t>
                      </w:r>
                      <w:r>
                        <w:rPr>
                          <w:rFonts w:hint="eastAsia" w:ascii="微软雅黑" w:hAnsi="微软雅黑"/>
                          <w:b/>
                          <w:bCs/>
                          <w:sz w:val="21"/>
                          <w:szCs w:val="21"/>
                        </w:rPr>
                        <w:t xml:space="preserve"> 标本的安放（图18）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6"/>
                        </w:numPr>
                        <w:adjustRightInd/>
                        <w:snapToGrid/>
                        <w:spacing w:after="100" w:afterAutospacing="1" w:line="300" w:lineRule="auto"/>
                        <w:jc w:val="both"/>
                        <w:rPr>
                          <w:rFonts w:ascii="微软雅黑" w:hAnsi="微软雅黑"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Cs/>
                          <w:sz w:val="21"/>
                          <w:szCs w:val="21"/>
                        </w:rPr>
                        <w:t>将盖切片安放在机械载物台中心，用活动卡爪将样品轻轻夹住。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6"/>
                        </w:numPr>
                        <w:snapToGrid/>
                        <w:spacing w:after="100" w:afterAutospacing="1" w:line="300" w:lineRule="auto"/>
                        <w:jc w:val="both"/>
                        <w:rPr>
                          <w:rFonts w:ascii="微软雅黑" w:hAnsi="微软雅黑"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Cs/>
                          <w:sz w:val="21"/>
                          <w:szCs w:val="21"/>
                        </w:rPr>
                        <w:t>旋转机械式移动尺上的横、纵向调节手轮①，将样品移至所需的位置。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7"/>
                        </w:numPr>
                        <w:adjustRightInd/>
                        <w:snapToGrid/>
                        <w:spacing w:after="100" w:afterAutospacing="1"/>
                        <w:jc w:val="both"/>
                        <w:rPr>
                          <w:rFonts w:ascii="微软雅黑" w:hAnsi="微软雅黑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bCs/>
                          <w:sz w:val="21"/>
                          <w:szCs w:val="21"/>
                        </w:rPr>
                        <w:t>更换物镜时要小心。在用短工作距离的物镜观察完标本后，需要更换物镜时，物镜可能会与标本相碰。</w:t>
                      </w:r>
                    </w:p>
                    <w:p>
                      <w:pPr>
                        <w:rPr>
                          <w:rFonts w:ascii="微软雅黑" w:hAnsi="微软雅黑"/>
                          <w:b/>
                          <w:sz w:val="21"/>
                          <w:szCs w:val="21"/>
                          <w:shd w:val="clear" w:color="auto" w:fill="8C8C8C"/>
                        </w:rPr>
                      </w:pPr>
                    </w:p>
                    <w:p>
                      <w:pPr>
                        <w:rPr>
                          <w:rFonts w:ascii="微软雅黑" w:hAnsi="微软雅黑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  <w:shd w:val="clear" w:color="auto" w:fill="8C8C8C"/>
                        </w:rPr>
                        <w:t>7.2.2.3</w:t>
                      </w: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</w:rPr>
                        <w:t xml:space="preserve"> 调焦（图19）</w:t>
                      </w:r>
                    </w:p>
                    <w:p>
                      <w:pPr>
                        <w:spacing w:line="300" w:lineRule="auto"/>
                        <w:ind w:left="359" w:hanging="359" w:hangingChars="171"/>
                        <w:rPr>
                          <w:rFonts w:ascii="微软雅黑" w:hAnsi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>1、</w:t>
                      </w:r>
                      <w:r>
                        <w:rPr>
                          <w:rFonts w:hint="eastAsia" w:ascii="微软雅黑" w:hAnsi="微软雅黑"/>
                          <w:bCs/>
                          <w:sz w:val="21"/>
                          <w:szCs w:val="21"/>
                        </w:rPr>
                        <w:t>用10×物镜调焦，为防止标本和物镜相碰，应先使机械载物台上升，使标本和物镜靠近，然后再使标本和物镜分离，在相离过程中达到调焦目的。</w:t>
                      </w:r>
                    </w:p>
                    <w:p>
                      <w:pPr>
                        <w:spacing w:line="300" w:lineRule="auto"/>
                        <w:ind w:left="330" w:leftChars="150"/>
                        <w:rPr>
                          <w:rFonts w:ascii="微软雅黑" w:hAnsi="微软雅黑"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Cs/>
                          <w:sz w:val="21"/>
                          <w:szCs w:val="21"/>
                        </w:rPr>
                        <w:t>操作者可先缓慢逆向旋转粗动手轮</w:t>
                      </w:r>
                      <w:r>
                        <w:rPr>
                          <w:rFonts w:ascii="微软雅黑" w:hAnsi="微软雅黑"/>
                          <w:bCs/>
                          <w:sz w:val="21"/>
                          <w:szCs w:val="21"/>
                        </w:rPr>
                        <w:t>①</w:t>
                      </w:r>
                      <w:r>
                        <w:rPr>
                          <w:rFonts w:hint="eastAsia" w:ascii="微软雅黑" w:hAnsi="微软雅黑"/>
                          <w:bCs/>
                          <w:sz w:val="21"/>
                          <w:szCs w:val="21"/>
                        </w:rPr>
                        <w:t>，使标本下降，同时在10×目镜里搜索图像，最后用微调焦手轮</w:t>
                      </w:r>
                      <w:r>
                        <w:rPr>
                          <w:rFonts w:ascii="微软雅黑" w:hAnsi="微软雅黑"/>
                          <w:bCs/>
                          <w:sz w:val="21"/>
                          <w:szCs w:val="21"/>
                        </w:rPr>
                        <w:t>②</w:t>
                      </w:r>
                      <w:r>
                        <w:rPr>
                          <w:rFonts w:hint="eastAsia" w:ascii="微软雅黑" w:hAnsi="微软雅黑"/>
                          <w:bCs/>
                          <w:sz w:val="21"/>
                          <w:szCs w:val="21"/>
                        </w:rPr>
                        <w:t>精细调焦。此时转换至其它倍率物镜，可达到齐焦而无碰坏标本的危险。</w:t>
                      </w:r>
                    </w:p>
                    <w:p>
                      <w:pPr>
                        <w:ind w:left="315" w:hanging="315" w:hangingChars="150"/>
                        <w:rPr>
                          <w:rFonts w:ascii="微软雅黑" w:hAnsi="微软雅黑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bCs/>
                          <w:sz w:val="21"/>
                          <w:szCs w:val="21"/>
                        </w:rPr>
                        <w:sym w:font="Wingdings" w:char="F0AB"/>
                      </w:r>
                      <w:r>
                        <w:rPr>
                          <w:rFonts w:hint="eastAsia" w:ascii="微软雅黑" w:hAnsi="微软雅黑"/>
                          <w:b/>
                          <w:bCs/>
                          <w:sz w:val="21"/>
                          <w:szCs w:val="21"/>
                        </w:rPr>
                        <w:t xml:space="preserve"> 如需要机械载物台在垂直方向固定在某个位置，可通过锁紧套</w:t>
                      </w:r>
                      <w:r>
                        <w:rPr>
                          <w:rFonts w:ascii="微软雅黑" w:hAnsi="微软雅黑"/>
                          <w:b/>
                          <w:bCs/>
                          <w:sz w:val="21"/>
                          <w:szCs w:val="21"/>
                        </w:rPr>
                        <w:t>③</w:t>
                      </w:r>
                      <w:r>
                        <w:rPr>
                          <w:rFonts w:hint="eastAsia" w:ascii="微软雅黑" w:hAnsi="微软雅黑"/>
                          <w:b/>
                          <w:bCs/>
                          <w:sz w:val="21"/>
                          <w:szCs w:val="21"/>
                        </w:rPr>
                        <w:t>进行固定，以方便观察。</w:t>
                      </w:r>
                    </w:p>
                    <w:p>
                      <w:pPr>
                        <w:rPr>
                          <w:b/>
                          <w:sz w:val="24"/>
                          <w:shd w:val="clear" w:color="auto" w:fill="8C8C8C"/>
                        </w:rPr>
                      </w:pPr>
                    </w:p>
                    <w:p>
                      <w:pPr>
                        <w:ind w:left="485" w:hanging="485" w:hangingChars="245"/>
                        <w:rPr>
                          <w:rFonts w:ascii="宋体" w:hAnsi="宋体"/>
                          <w:bCs/>
                          <w:w w:val="90"/>
                          <w:szCs w:val="21"/>
                        </w:rPr>
                      </w:pPr>
                    </w:p>
                    <w:p>
                      <w:pPr>
                        <w:spacing w:after="100" w:afterAutospacing="1"/>
                        <w:ind w:left="440" w:hanging="440" w:hangingChars="200"/>
                      </w:pPr>
                    </w:p>
                    <w:p>
                      <w:pPr>
                        <w:spacing w:after="100" w:afterAutospacing="1"/>
                        <w:rPr>
                          <w:b/>
                          <w:sz w:val="24"/>
                          <w:shd w:val="clear" w:color="auto" w:fill="8C8C8C"/>
                        </w:rPr>
                      </w:pPr>
                    </w:p>
                    <w:p>
                      <w:pPr>
                        <w:spacing w:after="100" w:afterAutospacing="1"/>
                        <w:ind w:left="440" w:hanging="440" w:hangingChars="20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/>
          <w:sz w:val="21"/>
          <w:szCs w:val="21"/>
        </w:rPr>
        <w:t>7.2.2光学部分操作</w:t>
      </w:r>
    </w:p>
    <w:p>
      <w:pPr>
        <w:spacing w:after="0" w:line="220" w:lineRule="atLeast"/>
        <w:rPr>
          <w:sz w:val="18"/>
          <w:szCs w:val="18"/>
        </w:rPr>
      </w:pPr>
      <w:r>
        <w:rPr>
          <w:rFonts w:hint="eastAsia"/>
        </w:rPr>
        <w:drawing>
          <wp:inline distT="0" distB="0" distL="0" distR="0">
            <wp:extent cx="2447925" cy="1800225"/>
            <wp:effectExtent l="19050" t="0" r="9525" b="0"/>
            <wp:docPr id="2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  <w:r>
        <w:rPr>
          <w:rFonts w:hint="eastAsia"/>
          <w:sz w:val="18"/>
          <w:szCs w:val="18"/>
        </w:rPr>
        <w:t>图16</w:t>
      </w:r>
    </w:p>
    <w:p>
      <w:pPr>
        <w:spacing w:after="0" w:line="220" w:lineRule="atLeast"/>
        <w:rPr>
          <w:sz w:val="18"/>
          <w:szCs w:val="18"/>
        </w:rPr>
      </w:pPr>
      <w:r>
        <w:rPr>
          <w:rFonts w:hint="eastAsia"/>
        </w:rPr>
        <w:drawing>
          <wp:inline distT="0" distB="0" distL="0" distR="0">
            <wp:extent cx="2447925" cy="1728470"/>
            <wp:effectExtent l="19050" t="0" r="9525" b="0"/>
            <wp:docPr id="3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72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  <w:r>
        <w:rPr>
          <w:rFonts w:hint="eastAsia"/>
          <w:sz w:val="18"/>
          <w:szCs w:val="18"/>
        </w:rPr>
        <w:t>图17</w:t>
      </w:r>
    </w:p>
    <w:p>
      <w:pPr>
        <w:spacing w:after="0" w:line="220" w:lineRule="atLeast"/>
        <w:rPr>
          <w:sz w:val="18"/>
          <w:szCs w:val="18"/>
        </w:rPr>
      </w:pPr>
      <w:r>
        <w:rPr>
          <w:rFonts w:hint="eastAsia"/>
        </w:rPr>
        <w:drawing>
          <wp:inline distT="0" distB="0" distL="0" distR="0">
            <wp:extent cx="2449195" cy="1743075"/>
            <wp:effectExtent l="19050" t="0" r="7971" b="0"/>
            <wp:docPr id="31" name="图片 30" descr="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1.5.jp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479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  <w:r>
        <w:rPr>
          <w:rFonts w:hint="eastAsia"/>
          <w:sz w:val="18"/>
          <w:szCs w:val="18"/>
        </w:rPr>
        <w:t>图18</w:t>
      </w:r>
    </w:p>
    <w:p>
      <w:pPr>
        <w:spacing w:after="0" w:line="220" w:lineRule="atLeast"/>
        <w:rPr>
          <w:sz w:val="18"/>
          <w:szCs w:val="18"/>
        </w:rPr>
      </w:pPr>
      <w:r>
        <w:rPr>
          <w:rFonts w:hint="eastAsia"/>
        </w:rPr>
        <w:drawing>
          <wp:inline distT="0" distB="0" distL="0" distR="0">
            <wp:extent cx="2449830" cy="1729740"/>
            <wp:effectExtent l="19050" t="0" r="7620" b="0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73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  <w:r>
        <w:rPr>
          <w:rFonts w:hint="eastAsia"/>
          <w:sz w:val="18"/>
          <w:szCs w:val="18"/>
        </w:rPr>
        <w:t>图19</w:t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980" w:firstLineChars="900"/>
        <w:rPr>
          <w:sz w:val="18"/>
          <w:szCs w:val="18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38100</wp:posOffset>
                </wp:positionV>
                <wp:extent cx="2743200" cy="9505950"/>
                <wp:effectExtent l="0" t="0" r="0" b="0"/>
                <wp:wrapNone/>
                <wp:docPr id="19" name="文本框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822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after="100" w:afterAutospacing="1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  <w:shd w:val="clear" w:color="auto" w:fill="8C8C8C"/>
                              </w:rPr>
                              <w:t>7.2.2.4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</w:rPr>
                              <w:t xml:space="preserve"> 聚光镜中心、高低调节（图20）</w:t>
                            </w:r>
                          </w:p>
                          <w:p>
                            <w:pPr>
                              <w:spacing w:line="300" w:lineRule="auto"/>
                              <w:ind w:left="376" w:leftChars="171"/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>转动聚光镜调焦手轮①，可使聚光镜上下移动，使用高倍物镜时，聚光镜上升，使用低倍物镜时，聚光镜可下降。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djustRightInd/>
                              <w:snapToGrid/>
                              <w:spacing w:after="0" w:line="360" w:lineRule="auto"/>
                              <w:jc w:val="both"/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Cs/>
                                <w:sz w:val="21"/>
                                <w:szCs w:val="21"/>
                              </w:rPr>
                              <w:t>用10×物镜聚焦样品。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djustRightInd/>
                              <w:snapToGrid/>
                              <w:spacing w:after="0" w:line="360" w:lineRule="auto"/>
                              <w:jc w:val="both"/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Cs/>
                                <w:sz w:val="21"/>
                                <w:szCs w:val="21"/>
                              </w:rPr>
                              <w:t>转动聚光镜调焦手轮①，对视场光阑图象聚焦。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djustRightInd/>
                              <w:snapToGrid/>
                              <w:spacing w:after="0" w:line="360" w:lineRule="auto"/>
                              <w:jc w:val="both"/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>转动聚光镜对中旋钮②把视场光阑图象移动到视场中心。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1"/>
                                <w:numId w:val="8"/>
                              </w:numPr>
                              <w:tabs>
                                <w:tab w:val="clear" w:pos="840"/>
                              </w:tabs>
                              <w:adjustRightInd/>
                              <w:snapToGrid/>
                              <w:spacing w:after="100" w:afterAutospacing="1"/>
                              <w:ind w:left="360" w:hanging="360"/>
                              <w:jc w:val="both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  <w:shd w:val="clear" w:color="auto" w:fill="8C8C8C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bCs/>
                                <w:sz w:val="21"/>
                                <w:szCs w:val="21"/>
                              </w:rPr>
                              <w:t>聚光镜中心应与物镜光轴共轴，产品出厂时已调节好，用户不必自行调节。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1"/>
                                <w:numId w:val="8"/>
                              </w:numPr>
                              <w:tabs>
                                <w:tab w:val="clear" w:pos="840"/>
                              </w:tabs>
                              <w:adjustRightInd/>
                              <w:snapToGrid/>
                              <w:spacing w:after="100" w:afterAutospacing="1"/>
                              <w:ind w:left="360" w:hanging="360"/>
                              <w:jc w:val="both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  <w:shd w:val="clear" w:color="auto" w:fill="8C8C8C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bCs/>
                                <w:sz w:val="21"/>
                                <w:szCs w:val="21"/>
                              </w:rPr>
                              <w:t>聚光镜的最高位置，出厂时已调节好，用户不必自行调节(聚光镜的最高位置与平台上平面距离为0.03～0.4)。</w:t>
                            </w:r>
                          </w:p>
                          <w:p>
                            <w:pPr>
                              <w:spacing w:after="100" w:afterAutospacing="1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  <w:shd w:val="clear" w:color="auto" w:fill="8C8C8C"/>
                              </w:rPr>
                            </w:pPr>
                          </w:p>
                          <w:p>
                            <w:pPr>
                              <w:spacing w:after="100" w:afterAutospacing="1"/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  <w:shd w:val="clear" w:color="auto" w:fill="8C8C8C"/>
                              </w:rPr>
                              <w:t>7.2.2.5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</w:rPr>
                              <w:t xml:space="preserve"> 孔径光阑的调节（图21）</w:t>
                            </w:r>
                          </w:p>
                          <w:p>
                            <w:pPr>
                              <w:spacing w:line="360" w:lineRule="auto"/>
                              <w:ind w:left="440" w:leftChars="200"/>
                              <w:rPr>
                                <w:rFonts w:ascii="微软雅黑" w:hAnsi="微软雅黑"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Cs/>
                                <w:sz w:val="21"/>
                                <w:szCs w:val="21"/>
                              </w:rPr>
                              <w:t>转动孔径光阑调节转杆</w:t>
                            </w:r>
                            <w:r>
                              <w:rPr>
                                <w:rFonts w:ascii="微软雅黑" w:hAnsi="微软雅黑"/>
                                <w:bCs/>
                                <w:sz w:val="21"/>
                                <w:szCs w:val="21"/>
                              </w:rPr>
                              <w:t>①</w:t>
                            </w:r>
                            <w:r>
                              <w:rPr>
                                <w:rFonts w:hint="eastAsia" w:ascii="微软雅黑" w:hAnsi="微软雅黑"/>
                                <w:bCs/>
                                <w:sz w:val="21"/>
                                <w:szCs w:val="21"/>
                              </w:rPr>
                              <w:t>，可调节孔径光阑的大小。</w:t>
                            </w:r>
                          </w:p>
                          <w:p>
                            <w:pPr>
                              <w:ind w:left="514" w:hanging="515" w:hangingChars="245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bCs/>
                                <w:sz w:val="21"/>
                                <w:szCs w:val="21"/>
                              </w:rPr>
                              <w:sym w:font="Wingdings" w:char="F0AB"/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</w:rPr>
                              <w:t>孔径光栏是为数值孔径的调节而设计的，不是调亮度。</w:t>
                            </w:r>
                          </w:p>
                          <w:p>
                            <w:pPr>
                              <w:ind w:left="440" w:leftChars="200"/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</w:rPr>
                              <w:t>通常，当孔径光栏开启到物镜出瞳的70～80%时，就可以得到足够对比度的良好图象。欲观察孔径光栏象，可取下目镜，从目镜筒中往下看物镜出瞳</w:t>
                            </w:r>
                          </w:p>
                          <w:p>
                            <w:pPr>
                              <w:spacing w:after="100" w:afterAutospacing="1"/>
                              <w:rPr>
                                <w:b/>
                                <w:sz w:val="24"/>
                                <w:shd w:val="clear" w:color="auto" w:fill="8C8C8C"/>
                              </w:rPr>
                            </w:pPr>
                          </w:p>
                          <w:p>
                            <w:pPr>
                              <w:spacing w:after="100" w:afterAutospacing="1"/>
                              <w:rPr>
                                <w:rFonts w:ascii="宋体" w:hAnsi="宋体"/>
                                <w:bCs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47" o:spid="_x0000_s1026" o:spt="202" type="#_x0000_t202" style="position:absolute;left:0pt;margin-left:204pt;margin-top:3pt;height:748.5pt;width:216pt;z-index:251667456;mso-width-relative:page;mso-height-relative:page;" filled="f" stroked="f" coordsize="21600,21600" o:gfxdata="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EKDZZtYAAAAKAQAADwAAAAAAAAABACAAAAAiAAAAZHJzL2Rvd25yZXYueG1sUEsBAhQAFAAAAAgA&#10;h07iQIWZB8i1AQAAYAMAAA4AAAAAAAAAAQAgAAAAJQ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after="100" w:afterAutospacing="1"/>
                        <w:rPr>
                          <w:rFonts w:ascii="微软雅黑" w:hAnsi="微软雅黑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  <w:shd w:val="clear" w:color="auto" w:fill="8C8C8C"/>
                        </w:rPr>
                        <w:t>7.2.2.4</w:t>
                      </w: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</w:rPr>
                        <w:t xml:space="preserve"> 聚光镜中心、高低调节（图20）</w:t>
                      </w:r>
                    </w:p>
                    <w:p>
                      <w:pPr>
                        <w:spacing w:line="300" w:lineRule="auto"/>
                        <w:ind w:left="376" w:leftChars="171"/>
                        <w:rPr>
                          <w:rFonts w:ascii="微软雅黑" w:hAnsi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>转动聚光镜调焦手轮①，可使聚光镜上下移动，使用高倍物镜时，聚光镜上升，使用低倍物镜时，聚光镜可下降。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8"/>
                        </w:numPr>
                        <w:adjustRightInd/>
                        <w:snapToGrid/>
                        <w:spacing w:after="0" w:line="360" w:lineRule="auto"/>
                        <w:jc w:val="both"/>
                        <w:rPr>
                          <w:rFonts w:ascii="微软雅黑" w:hAnsi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Cs/>
                          <w:sz w:val="21"/>
                          <w:szCs w:val="21"/>
                        </w:rPr>
                        <w:t>用10×物镜聚焦样品。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8"/>
                        </w:numPr>
                        <w:adjustRightInd/>
                        <w:snapToGrid/>
                        <w:spacing w:after="0" w:line="360" w:lineRule="auto"/>
                        <w:jc w:val="both"/>
                        <w:rPr>
                          <w:rFonts w:ascii="微软雅黑" w:hAnsi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Cs/>
                          <w:sz w:val="21"/>
                          <w:szCs w:val="21"/>
                        </w:rPr>
                        <w:t>转动聚光镜调焦手轮①，对视场光阑图象聚焦。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8"/>
                        </w:numPr>
                        <w:adjustRightInd/>
                        <w:snapToGrid/>
                        <w:spacing w:after="0" w:line="360" w:lineRule="auto"/>
                        <w:jc w:val="both"/>
                        <w:rPr>
                          <w:rFonts w:ascii="微软雅黑" w:hAnsi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>转动聚光镜对中旋钮②把视场光阑图象移动到视场中心。</w:t>
                      </w:r>
                    </w:p>
                    <w:p>
                      <w:pPr>
                        <w:widowControl w:val="0"/>
                        <w:numPr>
                          <w:ilvl w:val="1"/>
                          <w:numId w:val="8"/>
                        </w:numPr>
                        <w:tabs>
                          <w:tab w:val="clear" w:pos="840"/>
                        </w:tabs>
                        <w:adjustRightInd/>
                        <w:snapToGrid/>
                        <w:spacing w:after="100" w:afterAutospacing="1"/>
                        <w:ind w:left="360" w:hanging="360"/>
                        <w:jc w:val="both"/>
                        <w:rPr>
                          <w:rFonts w:ascii="微软雅黑" w:hAnsi="微软雅黑"/>
                          <w:b/>
                          <w:sz w:val="21"/>
                          <w:szCs w:val="21"/>
                          <w:shd w:val="clear" w:color="auto" w:fill="8C8C8C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bCs/>
                          <w:sz w:val="21"/>
                          <w:szCs w:val="21"/>
                        </w:rPr>
                        <w:t>聚光镜中心应与物镜光轴共轴，产品出厂时已调节好，用户不必自行调节。</w:t>
                      </w:r>
                    </w:p>
                    <w:p>
                      <w:pPr>
                        <w:widowControl w:val="0"/>
                        <w:numPr>
                          <w:ilvl w:val="1"/>
                          <w:numId w:val="8"/>
                        </w:numPr>
                        <w:tabs>
                          <w:tab w:val="clear" w:pos="840"/>
                        </w:tabs>
                        <w:adjustRightInd/>
                        <w:snapToGrid/>
                        <w:spacing w:after="100" w:afterAutospacing="1"/>
                        <w:ind w:left="360" w:hanging="360"/>
                        <w:jc w:val="both"/>
                        <w:rPr>
                          <w:rFonts w:ascii="微软雅黑" w:hAnsi="微软雅黑"/>
                          <w:b/>
                          <w:sz w:val="21"/>
                          <w:szCs w:val="21"/>
                          <w:shd w:val="clear" w:color="auto" w:fill="8C8C8C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bCs/>
                          <w:sz w:val="21"/>
                          <w:szCs w:val="21"/>
                        </w:rPr>
                        <w:t>聚光镜的最高位置，出厂时已调节好，用户不必自行调节(聚光镜的最高位置与平台上平面距离为0.03～0.4)。</w:t>
                      </w:r>
                    </w:p>
                    <w:p>
                      <w:pPr>
                        <w:spacing w:after="100" w:afterAutospacing="1"/>
                        <w:rPr>
                          <w:rFonts w:ascii="微软雅黑" w:hAnsi="微软雅黑"/>
                          <w:b/>
                          <w:sz w:val="21"/>
                          <w:szCs w:val="21"/>
                          <w:shd w:val="clear" w:color="auto" w:fill="8C8C8C"/>
                        </w:rPr>
                      </w:pPr>
                    </w:p>
                    <w:p>
                      <w:pPr>
                        <w:spacing w:after="100" w:afterAutospacing="1"/>
                        <w:rPr>
                          <w:rFonts w:ascii="微软雅黑" w:hAnsi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  <w:shd w:val="clear" w:color="auto" w:fill="8C8C8C"/>
                        </w:rPr>
                        <w:t>7.2.2.5</w:t>
                      </w: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</w:rPr>
                        <w:t xml:space="preserve"> 孔径光阑的调节（图21）</w:t>
                      </w:r>
                    </w:p>
                    <w:p>
                      <w:pPr>
                        <w:spacing w:line="360" w:lineRule="auto"/>
                        <w:ind w:left="440" w:leftChars="200"/>
                        <w:rPr>
                          <w:rFonts w:ascii="微软雅黑" w:hAnsi="微软雅黑"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Cs/>
                          <w:sz w:val="21"/>
                          <w:szCs w:val="21"/>
                        </w:rPr>
                        <w:t>转动孔径光阑调节转杆</w:t>
                      </w:r>
                      <w:r>
                        <w:rPr>
                          <w:rFonts w:ascii="微软雅黑" w:hAnsi="微软雅黑"/>
                          <w:bCs/>
                          <w:sz w:val="21"/>
                          <w:szCs w:val="21"/>
                        </w:rPr>
                        <w:t>①</w:t>
                      </w:r>
                      <w:r>
                        <w:rPr>
                          <w:rFonts w:hint="eastAsia" w:ascii="微软雅黑" w:hAnsi="微软雅黑"/>
                          <w:bCs/>
                          <w:sz w:val="21"/>
                          <w:szCs w:val="21"/>
                        </w:rPr>
                        <w:t>，可调节孔径光阑的大小。</w:t>
                      </w:r>
                    </w:p>
                    <w:p>
                      <w:pPr>
                        <w:ind w:left="514" w:hanging="515" w:hangingChars="245"/>
                        <w:rPr>
                          <w:rFonts w:ascii="微软雅黑" w:hAnsi="微软雅黑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bCs/>
                          <w:sz w:val="21"/>
                          <w:szCs w:val="21"/>
                        </w:rPr>
                        <w:sym w:font="Wingdings" w:char="F0AB"/>
                      </w:r>
                      <w:r>
                        <w:rPr>
                          <w:rFonts w:hint="eastAsia" w:ascii="微软雅黑" w:hAnsi="微软雅黑"/>
                          <w:b/>
                          <w:bCs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</w:rPr>
                        <w:t>孔径光栏是为数值孔径的调节而设计的，不是调亮度。</w:t>
                      </w:r>
                    </w:p>
                    <w:p>
                      <w:pPr>
                        <w:ind w:left="440" w:leftChars="200"/>
                        <w:rPr>
                          <w:rFonts w:ascii="微软雅黑" w:hAnsi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</w:rPr>
                        <w:t>通常，当孔径光栏开启到物镜出瞳的70～80%时，就可以得到足够对比度的良好图象。欲观察孔径光栏象，可取下目镜，从目镜筒中往下看物镜出瞳</w:t>
                      </w:r>
                    </w:p>
                    <w:p>
                      <w:pPr>
                        <w:spacing w:after="100" w:afterAutospacing="1"/>
                        <w:rPr>
                          <w:b/>
                          <w:sz w:val="24"/>
                          <w:shd w:val="clear" w:color="auto" w:fill="8C8C8C"/>
                        </w:rPr>
                      </w:pPr>
                    </w:p>
                    <w:p>
                      <w:pPr>
                        <w:spacing w:after="100" w:afterAutospacing="1"/>
                        <w:rPr>
                          <w:rFonts w:ascii="宋体" w:hAnsi="宋体"/>
                          <w:bCs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rPr>
          <w:sz w:val="18"/>
          <w:szCs w:val="18"/>
        </w:rPr>
      </w:pPr>
      <w:r>
        <w:rPr>
          <w:rFonts w:hint="eastAsia"/>
        </w:rPr>
        <w:drawing>
          <wp:inline distT="0" distB="0" distL="0" distR="0">
            <wp:extent cx="2571750" cy="1876425"/>
            <wp:effectExtent l="1905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  <w:r>
        <w:rPr>
          <w:rFonts w:hint="eastAsia"/>
          <w:sz w:val="18"/>
          <w:szCs w:val="18"/>
        </w:rPr>
        <w:t>图20</w:t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rPr>
          <w:sz w:val="18"/>
          <w:szCs w:val="18"/>
        </w:rPr>
      </w:pPr>
      <w:r>
        <w:rPr>
          <w:rFonts w:hint="eastAsia"/>
        </w:rPr>
        <w:drawing>
          <wp:inline distT="0" distB="0" distL="0" distR="0">
            <wp:extent cx="2466975" cy="1781175"/>
            <wp:effectExtent l="1905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  <w:r>
        <w:rPr>
          <w:rFonts w:hint="eastAsia"/>
          <w:sz w:val="18"/>
          <w:szCs w:val="18"/>
        </w:rPr>
        <w:t>图21</w:t>
      </w:r>
    </w:p>
    <w:p>
      <w:pPr>
        <w:spacing w:after="0" w:line="220" w:lineRule="atLeast"/>
        <w:rPr>
          <w:sz w:val="18"/>
          <w:szCs w:val="18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2473960</wp:posOffset>
                </wp:positionH>
                <wp:positionV relativeFrom="paragraph">
                  <wp:posOffset>-95250</wp:posOffset>
                </wp:positionV>
                <wp:extent cx="2971800" cy="9705975"/>
                <wp:effectExtent l="0" t="0" r="0" b="0"/>
                <wp:wrapNone/>
                <wp:docPr id="20" name="文本框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812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after="100" w:afterAutospacing="1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  <w:shd w:val="clear" w:color="auto" w:fill="8C8C8C"/>
                              </w:rPr>
                              <w:t>7.2.2.6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</w:rPr>
                              <w:t xml:space="preserve"> 调节瞳距（图22）</w:t>
                            </w:r>
                          </w:p>
                          <w:p>
                            <w:pPr>
                              <w:spacing w:line="360" w:lineRule="auto"/>
                              <w:ind w:left="420" w:hanging="420" w:hangingChars="200"/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/>
                                <w:bCs/>
                                <w:sz w:val="21"/>
                                <w:szCs w:val="21"/>
                              </w:rPr>
                              <w:t>瞳距范围48</w:t>
                            </w:r>
                            <w:r>
                              <w:rPr>
                                <w:rFonts w:ascii="微软雅黑" w:hAnsi="微软雅黑"/>
                                <w:bCs/>
                                <w:sz w:val="21"/>
                                <w:szCs w:val="21"/>
                              </w:rPr>
                              <w:t>mm</w:t>
                            </w:r>
                            <w:r>
                              <w:rPr>
                                <w:rFonts w:hint="eastAsia" w:ascii="微软雅黑" w:hAnsi="微软雅黑"/>
                                <w:bCs/>
                                <w:sz w:val="21"/>
                                <w:szCs w:val="21"/>
                              </w:rPr>
                              <w:t>～75</w:t>
                            </w:r>
                            <w:r>
                              <w:rPr>
                                <w:rFonts w:ascii="微软雅黑" w:hAnsi="微软雅黑"/>
                                <w:bCs/>
                                <w:sz w:val="21"/>
                                <w:szCs w:val="21"/>
                              </w:rPr>
                              <w:t>mm</w:t>
                            </w: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spacing w:line="360" w:lineRule="auto"/>
                              <w:ind w:left="440" w:leftChars="200"/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>双眼观察时，握住左右棱镜座绕轴旋转，来调节瞳距，直到双目观察时，左右视场合二为一，观察舒适为止。</w:t>
                            </w:r>
                          </w:p>
                          <w:p>
                            <w:pPr>
                              <w:spacing w:after="100" w:afterAutospacing="1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after="100" w:afterAutospacing="1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  <w:shd w:val="clear" w:color="auto" w:fill="8C8C8C"/>
                              </w:rPr>
                              <w:t>7.2.2.7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</w:rPr>
                              <w:t xml:space="preserve"> 调节视度（图23）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djustRightInd/>
                              <w:snapToGrid/>
                              <w:spacing w:after="100" w:afterAutospacing="1" w:line="360" w:lineRule="auto"/>
                              <w:jc w:val="both"/>
                              <w:rPr>
                                <w:rFonts w:ascii="微软雅黑" w:hAnsi="微软雅黑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sz w:val="21"/>
                                <w:szCs w:val="21"/>
                              </w:rPr>
                              <w:t>根据用户的视觉效果直接调整视度调节圈①即可。</w:t>
                            </w:r>
                          </w:p>
                          <w:p>
                            <w:pPr>
                              <w:spacing w:after="100" w:afterAutospacing="1"/>
                              <w:ind w:left="378" w:hanging="378" w:hangingChars="200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  <w:shd w:val="clear" w:color="auto" w:fill="8C8C8C"/>
                              </w:rPr>
                            </w:pPr>
                            <w:r>
                              <w:rPr>
                                <w:rFonts w:ascii="微软雅黑" w:hAnsi="微软雅黑"/>
                                <w:bCs/>
                                <w:w w:val="90"/>
                                <w:sz w:val="21"/>
                                <w:szCs w:val="21"/>
                              </w:rPr>
                              <w:t>★</w:t>
                            </w:r>
                            <w:r>
                              <w:rPr>
                                <w:rFonts w:hint="eastAsia" w:ascii="微软雅黑" w:hAnsi="微软雅黑"/>
                                <w:bCs/>
                                <w:w w:val="90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/>
                                <w:sz w:val="21"/>
                                <w:szCs w:val="21"/>
                              </w:rPr>
                              <w:t>目镜调节范围为±5个屈光度，与座上直刻线对齐的数值就是眼睛的视度值。</w:t>
                            </w:r>
                          </w:p>
                          <w:p>
                            <w:pPr>
                              <w:spacing w:after="100" w:afterAutospacing="1"/>
                              <w:ind w:left="420" w:hanging="420" w:hangingChars="200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  <w:shd w:val="clear" w:color="auto" w:fill="8C8C8C"/>
                              </w:rPr>
                            </w:pPr>
                          </w:p>
                          <w:p>
                            <w:pPr>
                              <w:spacing w:after="100" w:afterAutospacing="1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  <w:shd w:val="clear" w:color="auto" w:fill="8C8C8C"/>
                              </w:rPr>
                              <w:t>7.2.2.8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</w:rPr>
                              <w:t xml:space="preserve"> 调节粗调松紧调节环（图24）</w:t>
                            </w:r>
                          </w:p>
                          <w:p>
                            <w:pPr>
                              <w:spacing w:line="360" w:lineRule="auto"/>
                              <w:ind w:left="420" w:hanging="420" w:hangingChars="200"/>
                              <w:rPr>
                                <w:rFonts w:ascii="微软雅黑" w:hAnsi="微软雅黑"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Cs/>
                                <w:sz w:val="21"/>
                                <w:szCs w:val="21"/>
                              </w:rPr>
                              <w:sym w:font="Wingdings" w:char="F0AB"/>
                            </w:r>
                            <w:r>
                              <w:rPr>
                                <w:rFonts w:hint="eastAsia" w:ascii="微软雅黑" w:hAnsi="微软雅黑"/>
                                <w:bCs/>
                                <w:sz w:val="21"/>
                                <w:szCs w:val="21"/>
                              </w:rPr>
                              <w:t>　粗调焦手轮的松紧程度在出厂时已经调好，如发现太松（即机械载物台因自重而自动下滑）请转动粗调松紧调节环</w:t>
                            </w:r>
                            <w:r>
                              <w:rPr>
                                <w:rFonts w:ascii="微软雅黑" w:hAnsi="微软雅黑"/>
                                <w:bCs/>
                                <w:sz w:val="21"/>
                                <w:szCs w:val="21"/>
                              </w:rPr>
                              <w:t>①</w:t>
                            </w:r>
                            <w:r>
                              <w:rPr>
                                <w:rFonts w:hint="eastAsia" w:ascii="微软雅黑" w:hAnsi="微软雅黑"/>
                                <w:bCs/>
                                <w:sz w:val="21"/>
                                <w:szCs w:val="21"/>
                              </w:rPr>
                              <w:t>，直到松紧适宜为止。沿图示箭头方向转动时，粗调焦手轮</w:t>
                            </w:r>
                            <w:r>
                              <w:rPr>
                                <w:rFonts w:ascii="微软雅黑" w:hAnsi="微软雅黑"/>
                                <w:bCs/>
                                <w:sz w:val="21"/>
                                <w:szCs w:val="21"/>
                              </w:rPr>
                              <w:t>②</w:t>
                            </w:r>
                            <w:r>
                              <w:rPr>
                                <w:rFonts w:hint="eastAsia" w:ascii="微软雅黑" w:hAnsi="微软雅黑"/>
                                <w:bCs/>
                                <w:sz w:val="21"/>
                                <w:szCs w:val="21"/>
                              </w:rPr>
                              <w:t>紧度增加；沿相反方向转动时，紧度降低。</w:t>
                            </w:r>
                          </w:p>
                          <w:p>
                            <w:pPr>
                              <w:spacing w:line="360" w:lineRule="auto"/>
                              <w:ind w:left="420" w:hanging="420" w:hangingChars="200"/>
                              <w:rPr>
                                <w:rFonts w:ascii="微软雅黑" w:hAnsi="微软雅黑"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Cs/>
                                <w:sz w:val="21"/>
                                <w:szCs w:val="21"/>
                              </w:rPr>
                              <w:t xml:space="preserve">    如果平台自行下降，或者，即使使用微调焦手轮</w:t>
                            </w:r>
                            <w:r>
                              <w:rPr>
                                <w:rFonts w:ascii="微软雅黑" w:hAnsi="微软雅黑"/>
                                <w:bCs/>
                                <w:sz w:val="21"/>
                                <w:szCs w:val="21"/>
                              </w:rPr>
                              <w:t>③</w:t>
                            </w:r>
                            <w:r>
                              <w:rPr>
                                <w:rFonts w:hint="eastAsia" w:ascii="微软雅黑" w:hAnsi="微软雅黑"/>
                                <w:bCs/>
                                <w:sz w:val="21"/>
                                <w:szCs w:val="21"/>
                              </w:rPr>
                              <w:t>聚焦后，样品也很快偏离焦点，这意味着粗调焦手轮</w:t>
                            </w:r>
                            <w:r>
                              <w:rPr>
                                <w:rFonts w:ascii="微软雅黑" w:hAnsi="微软雅黑"/>
                                <w:bCs/>
                                <w:sz w:val="21"/>
                                <w:szCs w:val="21"/>
                              </w:rPr>
                              <w:t>②</w:t>
                            </w:r>
                            <w:r>
                              <w:rPr>
                                <w:rFonts w:hint="eastAsia" w:ascii="微软雅黑" w:hAnsi="微软雅黑"/>
                                <w:bCs/>
                                <w:sz w:val="21"/>
                                <w:szCs w:val="21"/>
                              </w:rPr>
                              <w:t>的紧度太低了。此时，应沿着图示箭头方向增加紧度。</w:t>
                            </w:r>
                          </w:p>
                          <w:p>
                            <w:pPr>
                              <w:spacing w:after="100" w:afterAutospacing="1"/>
                              <w:ind w:left="539" w:hanging="539" w:hangingChars="245"/>
                              <w:rPr>
                                <w:rFonts w:ascii="宋体" w:hAnsi="宋体"/>
                                <w:b/>
                                <w:bCs/>
                                <w:szCs w:val="21"/>
                              </w:rPr>
                            </w:pPr>
                          </w:p>
                          <w:p>
                            <w:pPr>
                              <w:spacing w:after="100" w:afterAutospacing="1"/>
                              <w:rPr>
                                <w:rFonts w:ascii="宋体" w:hAnsi="宋体"/>
                                <w:b/>
                                <w:bCs/>
                                <w:sz w:val="24"/>
                                <w:shd w:val="clear" w:color="auto" w:fill="8C8C8C"/>
                              </w:rPr>
                            </w:pPr>
                          </w:p>
                          <w:p>
                            <w:pPr>
                              <w:rPr>
                                <w:rFonts w:ascii="宋体" w:hAnsi="宋体"/>
                                <w:b/>
                                <w:bCs/>
                                <w:sz w:val="24"/>
                                <w:shd w:val="clear" w:color="auto" w:fill="8C8C8C"/>
                              </w:rPr>
                            </w:pPr>
                          </w:p>
                          <w:p>
                            <w:pPr>
                              <w:rPr>
                                <w:rFonts w:ascii="宋体" w:hAnsi="宋体"/>
                                <w:b/>
                                <w:bCs/>
                                <w:sz w:val="24"/>
                                <w:shd w:val="clear" w:color="auto" w:fill="8C8C8C"/>
                              </w:rPr>
                            </w:pPr>
                          </w:p>
                          <w:p>
                            <w:pPr>
                              <w:rPr>
                                <w:rFonts w:ascii="宋体" w:hAnsi="宋体"/>
                                <w:b/>
                                <w:bCs/>
                                <w:sz w:val="24"/>
                                <w:shd w:val="clear" w:color="auto" w:fill="8C8C8C"/>
                              </w:rPr>
                            </w:pPr>
                          </w:p>
                          <w:p>
                            <w:pPr>
                              <w:rPr>
                                <w:rFonts w:ascii="宋体" w:hAnsi="宋体"/>
                                <w:b/>
                                <w:bCs/>
                                <w:sz w:val="24"/>
                                <w:shd w:val="clear" w:color="auto" w:fill="8C8C8C"/>
                              </w:rPr>
                            </w:pPr>
                          </w:p>
                          <w:p>
                            <w:pPr>
                              <w:ind w:left="330" w:hanging="330" w:hangingChars="150"/>
                              <w:rPr>
                                <w:rFonts w:ascii="宋体" w:hAnsi="宋体"/>
                                <w:b/>
                                <w:bCs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54" o:spid="_x0000_s1026" o:spt="202" type="#_x0000_t202" style="position:absolute;left:0pt;margin-left:194.8pt;margin-top:-7.5pt;height:764.25pt;width:234pt;z-index:251668480;mso-width-relative:page;mso-height-relative:page;" filled="f" stroked="f" coordsize="21600,21600" o:gfxdata="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FvidVXYAAAADAEAAA8AAAAAAAAAAQAgAAAAIgAAAGRycy9kb3ducmV2LnhtbFBLAQIUABQAAAAI&#10;AIdO4kDLJiUytAEAAGA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after="100" w:afterAutospacing="1"/>
                        <w:rPr>
                          <w:rFonts w:ascii="微软雅黑" w:hAnsi="微软雅黑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  <w:shd w:val="clear" w:color="auto" w:fill="8C8C8C"/>
                        </w:rPr>
                        <w:t>7.2.2.6</w:t>
                      </w: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</w:rPr>
                        <w:t xml:space="preserve"> 调节瞳距（图22）</w:t>
                      </w:r>
                    </w:p>
                    <w:p>
                      <w:pPr>
                        <w:spacing w:line="360" w:lineRule="auto"/>
                        <w:ind w:left="420" w:hanging="420" w:hangingChars="200"/>
                        <w:rPr>
                          <w:rFonts w:ascii="微软雅黑" w:hAnsi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/>
                          <w:bCs/>
                          <w:sz w:val="21"/>
                          <w:szCs w:val="21"/>
                        </w:rPr>
                        <w:t>瞳距范围48</w:t>
                      </w:r>
                      <w:r>
                        <w:rPr>
                          <w:rFonts w:ascii="微软雅黑" w:hAnsi="微软雅黑"/>
                          <w:bCs/>
                          <w:sz w:val="21"/>
                          <w:szCs w:val="21"/>
                        </w:rPr>
                        <w:t>mm</w:t>
                      </w:r>
                      <w:r>
                        <w:rPr>
                          <w:rFonts w:hint="eastAsia" w:ascii="微软雅黑" w:hAnsi="微软雅黑"/>
                          <w:bCs/>
                          <w:sz w:val="21"/>
                          <w:szCs w:val="21"/>
                        </w:rPr>
                        <w:t>～75</w:t>
                      </w:r>
                      <w:r>
                        <w:rPr>
                          <w:rFonts w:ascii="微软雅黑" w:hAnsi="微软雅黑"/>
                          <w:bCs/>
                          <w:sz w:val="21"/>
                          <w:szCs w:val="21"/>
                        </w:rPr>
                        <w:t>mm</w:t>
                      </w: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>。</w:t>
                      </w:r>
                    </w:p>
                    <w:p>
                      <w:pPr>
                        <w:spacing w:line="360" w:lineRule="auto"/>
                        <w:ind w:left="440" w:leftChars="200"/>
                        <w:rPr>
                          <w:rFonts w:ascii="微软雅黑" w:hAnsi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>双眼观察时，握住左右棱镜座绕轴旋转，来调节瞳距，直到双目观察时，左右视场合二为一，观察舒适为止。</w:t>
                      </w:r>
                    </w:p>
                    <w:p>
                      <w:pPr>
                        <w:spacing w:after="100" w:afterAutospacing="1"/>
                        <w:rPr>
                          <w:rFonts w:ascii="微软雅黑" w:hAnsi="微软雅黑"/>
                          <w:b/>
                          <w:sz w:val="21"/>
                          <w:szCs w:val="21"/>
                        </w:rPr>
                      </w:pPr>
                    </w:p>
                    <w:p>
                      <w:pPr>
                        <w:spacing w:after="100" w:afterAutospacing="1"/>
                        <w:rPr>
                          <w:rFonts w:ascii="微软雅黑" w:hAnsi="微软雅黑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  <w:shd w:val="clear" w:color="auto" w:fill="8C8C8C"/>
                        </w:rPr>
                        <w:t>7.2.2.7</w:t>
                      </w: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</w:rPr>
                        <w:t xml:space="preserve"> 调节视度（图23）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9"/>
                        </w:numPr>
                        <w:adjustRightInd/>
                        <w:snapToGrid/>
                        <w:spacing w:after="100" w:afterAutospacing="1" w:line="360" w:lineRule="auto"/>
                        <w:jc w:val="both"/>
                        <w:rPr>
                          <w:rFonts w:ascii="微软雅黑" w:hAnsi="微软雅黑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sz w:val="21"/>
                          <w:szCs w:val="21"/>
                        </w:rPr>
                        <w:t>根据用户的视觉效果直接调整视度调节圈①即可。</w:t>
                      </w:r>
                    </w:p>
                    <w:p>
                      <w:pPr>
                        <w:spacing w:after="100" w:afterAutospacing="1"/>
                        <w:ind w:left="378" w:hanging="378" w:hangingChars="200"/>
                        <w:rPr>
                          <w:rFonts w:ascii="微软雅黑" w:hAnsi="微软雅黑"/>
                          <w:b/>
                          <w:sz w:val="21"/>
                          <w:szCs w:val="21"/>
                          <w:shd w:val="clear" w:color="auto" w:fill="8C8C8C"/>
                        </w:rPr>
                      </w:pPr>
                      <w:r>
                        <w:rPr>
                          <w:rFonts w:ascii="微软雅黑" w:hAnsi="微软雅黑"/>
                          <w:bCs/>
                          <w:w w:val="90"/>
                          <w:sz w:val="21"/>
                          <w:szCs w:val="21"/>
                        </w:rPr>
                        <w:t>★</w:t>
                      </w:r>
                      <w:r>
                        <w:rPr>
                          <w:rFonts w:hint="eastAsia" w:ascii="微软雅黑" w:hAnsi="微软雅黑"/>
                          <w:bCs/>
                          <w:w w:val="90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/>
                          <w:b/>
                          <w:bCs/>
                          <w:sz w:val="21"/>
                          <w:szCs w:val="21"/>
                        </w:rPr>
                        <w:t>目镜调节范围为±5个屈光度，与座上直刻线对齐的数值就是眼睛的视度值。</w:t>
                      </w:r>
                    </w:p>
                    <w:p>
                      <w:pPr>
                        <w:spacing w:after="100" w:afterAutospacing="1"/>
                        <w:ind w:left="420" w:hanging="420" w:hangingChars="200"/>
                        <w:rPr>
                          <w:rFonts w:ascii="微软雅黑" w:hAnsi="微软雅黑"/>
                          <w:b/>
                          <w:sz w:val="21"/>
                          <w:szCs w:val="21"/>
                          <w:shd w:val="clear" w:color="auto" w:fill="8C8C8C"/>
                        </w:rPr>
                      </w:pPr>
                    </w:p>
                    <w:p>
                      <w:pPr>
                        <w:spacing w:after="100" w:afterAutospacing="1"/>
                        <w:rPr>
                          <w:rFonts w:ascii="微软雅黑" w:hAnsi="微软雅黑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  <w:shd w:val="clear" w:color="auto" w:fill="8C8C8C"/>
                        </w:rPr>
                        <w:t>7.2.2.8</w:t>
                      </w: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</w:rPr>
                        <w:t xml:space="preserve"> 调节粗调松紧调节环（图24）</w:t>
                      </w:r>
                    </w:p>
                    <w:p>
                      <w:pPr>
                        <w:spacing w:line="360" w:lineRule="auto"/>
                        <w:ind w:left="420" w:hanging="420" w:hangingChars="200"/>
                        <w:rPr>
                          <w:rFonts w:ascii="微软雅黑" w:hAnsi="微软雅黑"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Cs/>
                          <w:sz w:val="21"/>
                          <w:szCs w:val="21"/>
                        </w:rPr>
                        <w:sym w:font="Wingdings" w:char="F0AB"/>
                      </w:r>
                      <w:r>
                        <w:rPr>
                          <w:rFonts w:hint="eastAsia" w:ascii="微软雅黑" w:hAnsi="微软雅黑"/>
                          <w:bCs/>
                          <w:sz w:val="21"/>
                          <w:szCs w:val="21"/>
                        </w:rPr>
                        <w:t>　粗调焦手轮的松紧程度在出厂时已经调好，如发现太松（即机械载物台因自重而自动下滑）请转动粗调松紧调节环</w:t>
                      </w:r>
                      <w:r>
                        <w:rPr>
                          <w:rFonts w:ascii="微软雅黑" w:hAnsi="微软雅黑"/>
                          <w:bCs/>
                          <w:sz w:val="21"/>
                          <w:szCs w:val="21"/>
                        </w:rPr>
                        <w:t>①</w:t>
                      </w:r>
                      <w:r>
                        <w:rPr>
                          <w:rFonts w:hint="eastAsia" w:ascii="微软雅黑" w:hAnsi="微软雅黑"/>
                          <w:bCs/>
                          <w:sz w:val="21"/>
                          <w:szCs w:val="21"/>
                        </w:rPr>
                        <w:t>，直到松紧适宜为止。沿图示箭头方向转动时，粗调焦手轮</w:t>
                      </w:r>
                      <w:r>
                        <w:rPr>
                          <w:rFonts w:ascii="微软雅黑" w:hAnsi="微软雅黑"/>
                          <w:bCs/>
                          <w:sz w:val="21"/>
                          <w:szCs w:val="21"/>
                        </w:rPr>
                        <w:t>②</w:t>
                      </w:r>
                      <w:r>
                        <w:rPr>
                          <w:rFonts w:hint="eastAsia" w:ascii="微软雅黑" w:hAnsi="微软雅黑"/>
                          <w:bCs/>
                          <w:sz w:val="21"/>
                          <w:szCs w:val="21"/>
                        </w:rPr>
                        <w:t>紧度增加；沿相反方向转动时，紧度降低。</w:t>
                      </w:r>
                    </w:p>
                    <w:p>
                      <w:pPr>
                        <w:spacing w:line="360" w:lineRule="auto"/>
                        <w:ind w:left="420" w:hanging="420" w:hangingChars="200"/>
                        <w:rPr>
                          <w:rFonts w:ascii="微软雅黑" w:hAnsi="微软雅黑"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Cs/>
                          <w:sz w:val="21"/>
                          <w:szCs w:val="21"/>
                        </w:rPr>
                        <w:t xml:space="preserve">    如果平台自行下降，或者，即使使用微调焦手轮</w:t>
                      </w:r>
                      <w:r>
                        <w:rPr>
                          <w:rFonts w:ascii="微软雅黑" w:hAnsi="微软雅黑"/>
                          <w:bCs/>
                          <w:sz w:val="21"/>
                          <w:szCs w:val="21"/>
                        </w:rPr>
                        <w:t>③</w:t>
                      </w:r>
                      <w:r>
                        <w:rPr>
                          <w:rFonts w:hint="eastAsia" w:ascii="微软雅黑" w:hAnsi="微软雅黑"/>
                          <w:bCs/>
                          <w:sz w:val="21"/>
                          <w:szCs w:val="21"/>
                        </w:rPr>
                        <w:t>聚焦后，样品也很快偏离焦点，这意味着粗调焦手轮</w:t>
                      </w:r>
                      <w:r>
                        <w:rPr>
                          <w:rFonts w:ascii="微软雅黑" w:hAnsi="微软雅黑"/>
                          <w:bCs/>
                          <w:sz w:val="21"/>
                          <w:szCs w:val="21"/>
                        </w:rPr>
                        <w:t>②</w:t>
                      </w:r>
                      <w:r>
                        <w:rPr>
                          <w:rFonts w:hint="eastAsia" w:ascii="微软雅黑" w:hAnsi="微软雅黑"/>
                          <w:bCs/>
                          <w:sz w:val="21"/>
                          <w:szCs w:val="21"/>
                        </w:rPr>
                        <w:t>的紧度太低了。此时，应沿着图示箭头方向增加紧度。</w:t>
                      </w:r>
                    </w:p>
                    <w:p>
                      <w:pPr>
                        <w:spacing w:after="100" w:afterAutospacing="1"/>
                        <w:ind w:left="539" w:hanging="539" w:hangingChars="245"/>
                        <w:rPr>
                          <w:rFonts w:ascii="宋体" w:hAnsi="宋体"/>
                          <w:b/>
                          <w:bCs/>
                          <w:szCs w:val="21"/>
                        </w:rPr>
                      </w:pPr>
                    </w:p>
                    <w:p>
                      <w:pPr>
                        <w:spacing w:after="100" w:afterAutospacing="1"/>
                        <w:rPr>
                          <w:rFonts w:ascii="宋体" w:hAnsi="宋体"/>
                          <w:b/>
                          <w:bCs/>
                          <w:sz w:val="24"/>
                          <w:shd w:val="clear" w:color="auto" w:fill="8C8C8C"/>
                        </w:rPr>
                      </w:pPr>
                    </w:p>
                    <w:p>
                      <w:pPr>
                        <w:rPr>
                          <w:rFonts w:ascii="宋体" w:hAnsi="宋体"/>
                          <w:b/>
                          <w:bCs/>
                          <w:sz w:val="24"/>
                          <w:shd w:val="clear" w:color="auto" w:fill="8C8C8C"/>
                        </w:rPr>
                      </w:pPr>
                    </w:p>
                    <w:p>
                      <w:pPr>
                        <w:rPr>
                          <w:rFonts w:ascii="宋体" w:hAnsi="宋体"/>
                          <w:b/>
                          <w:bCs/>
                          <w:sz w:val="24"/>
                          <w:shd w:val="clear" w:color="auto" w:fill="8C8C8C"/>
                        </w:rPr>
                      </w:pPr>
                    </w:p>
                    <w:p>
                      <w:pPr>
                        <w:rPr>
                          <w:rFonts w:ascii="宋体" w:hAnsi="宋体"/>
                          <w:b/>
                          <w:bCs/>
                          <w:sz w:val="24"/>
                          <w:shd w:val="clear" w:color="auto" w:fill="8C8C8C"/>
                        </w:rPr>
                      </w:pPr>
                    </w:p>
                    <w:p>
                      <w:pPr>
                        <w:rPr>
                          <w:rFonts w:ascii="宋体" w:hAnsi="宋体"/>
                          <w:b/>
                          <w:bCs/>
                          <w:sz w:val="24"/>
                          <w:shd w:val="clear" w:color="auto" w:fill="8C8C8C"/>
                        </w:rPr>
                      </w:pPr>
                    </w:p>
                    <w:p>
                      <w:pPr>
                        <w:ind w:left="330" w:hanging="330" w:hangingChars="150"/>
                        <w:rPr>
                          <w:rFonts w:ascii="宋体" w:hAnsi="宋体"/>
                          <w:b/>
                          <w:bCs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2486025" cy="1781175"/>
            <wp:effectExtent l="19050" t="0" r="9525" b="0"/>
            <wp:docPr id="39" name="图片 39" descr="C:\Users\Administrator\Desktop\说明书-修改2\说明书-修改2\微信图片_2020121709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Administrator\Desktop\说明书-修改2\说明书-修改2\微信图片_2020121709245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  <w:r>
        <w:rPr>
          <w:rFonts w:hint="eastAsia"/>
          <w:sz w:val="18"/>
          <w:szCs w:val="18"/>
        </w:rPr>
        <w:t>图22</w:t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rPr>
          <w:sz w:val="18"/>
          <w:szCs w:val="18"/>
        </w:rPr>
      </w:pPr>
      <w:r>
        <w:rPr>
          <w:rFonts w:hint="eastAsia"/>
        </w:rPr>
        <w:drawing>
          <wp:inline distT="0" distB="0" distL="0" distR="0">
            <wp:extent cx="2400300" cy="2676525"/>
            <wp:effectExtent l="19050" t="0" r="0" b="0"/>
            <wp:docPr id="34" name="图片 33" descr="1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 descr="1.6.jp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  <w:r>
        <w:rPr>
          <w:rFonts w:hint="eastAsia"/>
          <w:sz w:val="18"/>
          <w:szCs w:val="18"/>
        </w:rPr>
        <w:t>图23</w:t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</w:p>
    <w:p>
      <w:pPr>
        <w:spacing w:after="0" w:line="220" w:lineRule="atLeast"/>
        <w:rPr>
          <w:sz w:val="18"/>
          <w:szCs w:val="18"/>
        </w:rPr>
      </w:pPr>
      <w:r>
        <w:rPr>
          <w:rFonts w:hint="eastAsia"/>
          <w:sz w:val="18"/>
          <w:szCs w:val="18"/>
        </w:rPr>
        <w:drawing>
          <wp:inline distT="0" distB="0" distL="0" distR="0">
            <wp:extent cx="2371725" cy="1714500"/>
            <wp:effectExtent l="1905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220" w:lineRule="atLeast"/>
        <w:rPr>
          <w:sz w:val="18"/>
          <w:szCs w:val="18"/>
        </w:rPr>
      </w:pPr>
    </w:p>
    <w:p>
      <w:pPr>
        <w:spacing w:after="0" w:line="220" w:lineRule="atLeast"/>
        <w:ind w:firstLine="1620" w:firstLineChars="900"/>
        <w:rPr>
          <w:sz w:val="18"/>
          <w:szCs w:val="18"/>
        </w:rPr>
      </w:pPr>
      <w:r>
        <w:rPr>
          <w:rFonts w:hint="eastAsia"/>
          <w:sz w:val="18"/>
          <w:szCs w:val="18"/>
        </w:rPr>
        <w:t>图24</w:t>
      </w:r>
    </w:p>
    <w:p>
      <w:pPr>
        <w:spacing w:after="0" w:line="220" w:lineRule="atLeast"/>
        <w:rPr>
          <w:sz w:val="18"/>
          <w:szCs w:val="18"/>
        </w:rPr>
      </w:pPr>
      <w:r>
        <w:rPr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-19050</wp:posOffset>
                </wp:positionV>
                <wp:extent cx="2971800" cy="8122920"/>
                <wp:effectExtent l="0" t="0" r="0" b="0"/>
                <wp:wrapNone/>
                <wp:docPr id="748" name="文本框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812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after="100" w:afterAutospacing="1"/>
                              <w:rPr>
                                <w:rFonts w:ascii="微软雅黑" w:hAnsi="微软雅黑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  <w:shd w:val="clear" w:color="auto" w:fill="8C8C8C"/>
                              </w:rPr>
                              <w:t>7.2.2.7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/>
                                <w:sz w:val="21"/>
                                <w:szCs w:val="21"/>
                              </w:rPr>
                              <w:t>“ECO”装置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sz w:val="21"/>
                                <w:szCs w:val="21"/>
                              </w:rPr>
                              <w:t>（图25）</w:t>
                            </w:r>
                          </w:p>
                          <w:p>
                            <w:pPr>
                              <w:spacing w:after="100" w:afterAutospacing="1"/>
                              <w:ind w:left="440" w:leftChars="200"/>
                              <w:rPr>
                                <w:rFonts w:ascii="微软雅黑" w:hAnsi="微软雅黑"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Cs/>
                                <w:sz w:val="21"/>
                                <w:szCs w:val="21"/>
                              </w:rPr>
                              <w:t>针对配置“ECO”的显微镜：</w:t>
                            </w:r>
                          </w:p>
                          <w:p>
                            <w:pPr>
                              <w:spacing w:after="100" w:afterAutospacing="1"/>
                              <w:ind w:left="440" w:leftChars="200"/>
                              <w:rPr>
                                <w:rFonts w:ascii="微软雅黑" w:hAnsi="微软雅黑"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Cs/>
                                <w:sz w:val="21"/>
                                <w:szCs w:val="21"/>
                              </w:rPr>
                              <w:t>如图24所示，该装置能感应其正前方1米以内的物体。</w:t>
                            </w:r>
                          </w:p>
                          <w:p>
                            <w:pPr>
                              <w:spacing w:after="100" w:afterAutospacing="1"/>
                              <w:ind w:left="440" w:leftChars="200"/>
                              <w:rPr>
                                <w:rFonts w:ascii="微软雅黑" w:hAnsi="微软雅黑"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Cs/>
                                <w:sz w:val="21"/>
                                <w:szCs w:val="21"/>
                              </w:rPr>
                              <w:t>当人在观察时，处于其前方1米以内，该装置内显示为红灯常亮，此时显微镜光源不会熄灭。</w:t>
                            </w:r>
                          </w:p>
                          <w:p>
                            <w:pPr>
                              <w:spacing w:after="100" w:afterAutospacing="1"/>
                              <w:ind w:left="440" w:leftChars="200"/>
                              <w:rPr>
                                <w:rFonts w:ascii="微软雅黑" w:hAnsi="微软雅黑"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Cs/>
                                <w:sz w:val="21"/>
                                <w:szCs w:val="21"/>
                              </w:rPr>
                              <w:t>当人走开，其前方1米以内没有其它物体时，红灯变为闪烁。此状态持续一段时间后，光源会自动熄灭。持续时间默认为15分钟。</w:t>
                            </w:r>
                            <w:r>
                              <w:rPr>
                                <w:rFonts w:ascii="微软雅黑" w:hAnsi="微软雅黑"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line="360" w:lineRule="auto"/>
                              <w:ind w:left="440" w:hanging="440" w:hangingChars="200"/>
                            </w:pPr>
                          </w:p>
                          <w:p>
                            <w:pPr>
                              <w:spacing w:after="100" w:afterAutospacing="1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spacing w:after="100" w:afterAutospacing="1"/>
                              <w:ind w:left="539" w:hanging="539" w:hangingChars="245"/>
                              <w:rPr>
                                <w:rFonts w:ascii="宋体" w:hAnsi="宋体"/>
                                <w:b/>
                                <w:bCs/>
                                <w:szCs w:val="21"/>
                              </w:rPr>
                            </w:pPr>
                          </w:p>
                          <w:p>
                            <w:pPr>
                              <w:spacing w:after="100" w:afterAutospacing="1"/>
                              <w:rPr>
                                <w:rFonts w:ascii="宋体" w:hAnsi="宋体"/>
                                <w:b/>
                                <w:bCs/>
                                <w:sz w:val="24"/>
                                <w:shd w:val="clear" w:color="auto" w:fill="8C8C8C"/>
                              </w:rPr>
                            </w:pPr>
                          </w:p>
                          <w:p>
                            <w:pPr>
                              <w:rPr>
                                <w:rFonts w:ascii="宋体" w:hAnsi="宋体"/>
                                <w:b/>
                                <w:bCs/>
                                <w:sz w:val="24"/>
                                <w:shd w:val="clear" w:color="auto" w:fill="8C8C8C"/>
                              </w:rPr>
                            </w:pPr>
                          </w:p>
                          <w:p>
                            <w:pPr>
                              <w:rPr>
                                <w:rFonts w:ascii="宋体" w:hAnsi="宋体"/>
                                <w:b/>
                                <w:bCs/>
                                <w:sz w:val="24"/>
                                <w:shd w:val="clear" w:color="auto" w:fill="8C8C8C"/>
                              </w:rPr>
                            </w:pPr>
                          </w:p>
                          <w:p>
                            <w:pPr>
                              <w:rPr>
                                <w:rFonts w:ascii="宋体" w:hAnsi="宋体"/>
                                <w:b/>
                                <w:bCs/>
                                <w:sz w:val="24"/>
                                <w:shd w:val="clear" w:color="auto" w:fill="8C8C8C"/>
                              </w:rPr>
                            </w:pPr>
                          </w:p>
                          <w:p>
                            <w:pPr>
                              <w:rPr>
                                <w:rFonts w:ascii="宋体" w:hAnsi="宋体"/>
                                <w:b/>
                                <w:bCs/>
                                <w:sz w:val="24"/>
                                <w:shd w:val="clear" w:color="auto" w:fill="8C8C8C"/>
                              </w:rPr>
                            </w:pPr>
                          </w:p>
                          <w:p>
                            <w:pPr>
                              <w:ind w:left="330" w:hanging="330" w:hangingChars="150"/>
                              <w:rPr>
                                <w:rFonts w:ascii="宋体" w:hAnsi="宋体"/>
                                <w:b/>
                                <w:bCs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70" o:spid="_x0000_s1026" o:spt="202" type="#_x0000_t202" style="position:absolute;left:0pt;margin-left:188.25pt;margin-top:-1.5pt;height:639.6pt;width:234pt;z-index:251669504;mso-width-relative:page;mso-height-relative:page;" filled="f" stroked="f" coordsize="21600,21600" o:gfxdata="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KHSRs2AAAAAsBAAAPAAAAAAAAAAEAIAAAACIAAABkcnMvZG93bnJldi54bWxQSwECFAAUAAAA&#10;CACHTuJA7Xhnv7UBAABhAwAADgAAAAAAAAABACAAAAAnAQAAZHJzL2Uyb0RvYy54bWxQSwUGAAAA&#10;AAYABgBZAQAAT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after="100" w:afterAutospacing="1"/>
                        <w:rPr>
                          <w:rFonts w:ascii="微软雅黑" w:hAnsi="微软雅黑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  <w:shd w:val="clear" w:color="auto" w:fill="8C8C8C"/>
                        </w:rPr>
                        <w:t>7.2.2.7</w:t>
                      </w: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/>
                          <w:bCs/>
                          <w:sz w:val="21"/>
                          <w:szCs w:val="21"/>
                        </w:rPr>
                        <w:t>“ECO”装置</w:t>
                      </w:r>
                      <w:r>
                        <w:rPr>
                          <w:rFonts w:hint="eastAsia" w:ascii="微软雅黑" w:hAnsi="微软雅黑"/>
                          <w:b/>
                          <w:sz w:val="21"/>
                          <w:szCs w:val="21"/>
                        </w:rPr>
                        <w:t>（图25）</w:t>
                      </w:r>
                    </w:p>
                    <w:p>
                      <w:pPr>
                        <w:spacing w:after="100" w:afterAutospacing="1"/>
                        <w:ind w:left="440" w:leftChars="200"/>
                        <w:rPr>
                          <w:rFonts w:ascii="微软雅黑" w:hAnsi="微软雅黑"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Cs/>
                          <w:sz w:val="21"/>
                          <w:szCs w:val="21"/>
                        </w:rPr>
                        <w:t>针对配置“ECO”的显微镜：</w:t>
                      </w:r>
                    </w:p>
                    <w:p>
                      <w:pPr>
                        <w:spacing w:after="100" w:afterAutospacing="1"/>
                        <w:ind w:left="440" w:leftChars="200"/>
                        <w:rPr>
                          <w:rFonts w:ascii="微软雅黑" w:hAnsi="微软雅黑"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Cs/>
                          <w:sz w:val="21"/>
                          <w:szCs w:val="21"/>
                        </w:rPr>
                        <w:t>如图24所示，该装置能感应其正前方1米以内的物体。</w:t>
                      </w:r>
                    </w:p>
                    <w:p>
                      <w:pPr>
                        <w:spacing w:after="100" w:afterAutospacing="1"/>
                        <w:ind w:left="440" w:leftChars="200"/>
                        <w:rPr>
                          <w:rFonts w:ascii="微软雅黑" w:hAnsi="微软雅黑"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Cs/>
                          <w:sz w:val="21"/>
                          <w:szCs w:val="21"/>
                        </w:rPr>
                        <w:t>当人在观察时，处于其前方1米以内，该装置内显示为红灯常亮，此时显微镜光源不会熄灭。</w:t>
                      </w:r>
                    </w:p>
                    <w:p>
                      <w:pPr>
                        <w:spacing w:after="100" w:afterAutospacing="1"/>
                        <w:ind w:left="440" w:leftChars="200"/>
                        <w:rPr>
                          <w:rFonts w:ascii="微软雅黑" w:hAnsi="微软雅黑"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Cs/>
                          <w:sz w:val="21"/>
                          <w:szCs w:val="21"/>
                        </w:rPr>
                        <w:t>当人走开，其前方1米以内没有其它物体时，红灯变为闪烁。此状态持续一段时间后，光源会自动熄灭。持续时间默认为15分钟。</w:t>
                      </w:r>
                      <w:r>
                        <w:rPr>
                          <w:rFonts w:ascii="微软雅黑" w:hAnsi="微软雅黑"/>
                          <w:bCs/>
                          <w:sz w:val="21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spacing w:line="360" w:lineRule="auto"/>
                        <w:ind w:left="440" w:hanging="440" w:hangingChars="200"/>
                      </w:pPr>
                    </w:p>
                    <w:p>
                      <w:pPr>
                        <w:spacing w:after="100" w:afterAutospacing="1"/>
                        <w:rPr>
                          <w:b/>
                          <w:sz w:val="24"/>
                        </w:rPr>
                      </w:pPr>
                    </w:p>
                    <w:p>
                      <w:pPr>
                        <w:spacing w:after="100" w:afterAutospacing="1"/>
                        <w:ind w:left="539" w:hanging="539" w:hangingChars="245"/>
                        <w:rPr>
                          <w:rFonts w:ascii="宋体" w:hAnsi="宋体"/>
                          <w:b/>
                          <w:bCs/>
                          <w:szCs w:val="21"/>
                        </w:rPr>
                      </w:pPr>
                    </w:p>
                    <w:p>
                      <w:pPr>
                        <w:spacing w:after="100" w:afterAutospacing="1"/>
                        <w:rPr>
                          <w:rFonts w:ascii="宋体" w:hAnsi="宋体"/>
                          <w:b/>
                          <w:bCs/>
                          <w:sz w:val="24"/>
                          <w:shd w:val="clear" w:color="auto" w:fill="8C8C8C"/>
                        </w:rPr>
                      </w:pPr>
                    </w:p>
                    <w:p>
                      <w:pPr>
                        <w:rPr>
                          <w:rFonts w:ascii="宋体" w:hAnsi="宋体"/>
                          <w:b/>
                          <w:bCs/>
                          <w:sz w:val="24"/>
                          <w:shd w:val="clear" w:color="auto" w:fill="8C8C8C"/>
                        </w:rPr>
                      </w:pPr>
                    </w:p>
                    <w:p>
                      <w:pPr>
                        <w:rPr>
                          <w:rFonts w:ascii="宋体" w:hAnsi="宋体"/>
                          <w:b/>
                          <w:bCs/>
                          <w:sz w:val="24"/>
                          <w:shd w:val="clear" w:color="auto" w:fill="8C8C8C"/>
                        </w:rPr>
                      </w:pPr>
                    </w:p>
                    <w:p>
                      <w:pPr>
                        <w:rPr>
                          <w:rFonts w:ascii="宋体" w:hAnsi="宋体"/>
                          <w:b/>
                          <w:bCs/>
                          <w:sz w:val="24"/>
                          <w:shd w:val="clear" w:color="auto" w:fill="8C8C8C"/>
                        </w:rPr>
                      </w:pPr>
                    </w:p>
                    <w:p>
                      <w:pPr>
                        <w:rPr>
                          <w:rFonts w:ascii="宋体" w:hAnsi="宋体"/>
                          <w:b/>
                          <w:bCs/>
                          <w:sz w:val="24"/>
                          <w:shd w:val="clear" w:color="auto" w:fill="8C8C8C"/>
                        </w:rPr>
                      </w:pPr>
                    </w:p>
                    <w:p>
                      <w:pPr>
                        <w:ind w:left="330" w:hanging="330" w:hangingChars="150"/>
                        <w:rPr>
                          <w:rFonts w:ascii="宋体" w:hAnsi="宋体"/>
                          <w:b/>
                          <w:bCs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18"/>
          <w:szCs w:val="18"/>
        </w:rPr>
        <w:drawing>
          <wp:inline distT="0" distB="0" distL="0" distR="0">
            <wp:extent cx="2371725" cy="1714500"/>
            <wp:effectExtent l="19050" t="0" r="952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220" w:lineRule="atLeast"/>
        <w:ind w:firstLine="1620" w:firstLineChars="900"/>
        <w:rPr>
          <w:sz w:val="18"/>
          <w:szCs w:val="18"/>
        </w:rPr>
      </w:pPr>
      <w:r>
        <w:rPr>
          <w:rFonts w:hint="eastAsia"/>
          <w:sz w:val="18"/>
          <w:szCs w:val="18"/>
        </w:rPr>
        <w:t>图25</w:t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pStyle w:val="6"/>
        <w:rPr>
          <w:rStyle w:val="14"/>
          <w:rFonts w:ascii="微软雅黑" w:hAnsi="微软雅黑" w:eastAsia="微软雅黑"/>
          <w:b/>
          <w:bCs w:val="0"/>
          <w:sz w:val="24"/>
          <w:szCs w:val="24"/>
        </w:rPr>
      </w:pPr>
      <w:bookmarkStart w:id="10" w:name="_Toc65657308"/>
      <w:r>
        <w:rPr>
          <w:rStyle w:val="14"/>
          <w:rFonts w:hint="eastAsia" w:ascii="微软雅黑" w:hAnsi="微软雅黑" w:eastAsia="微软雅黑"/>
          <w:b/>
          <w:bCs w:val="0"/>
          <w:sz w:val="24"/>
          <w:szCs w:val="24"/>
        </w:rPr>
        <w:t>8、常见故障及排除方法</w:t>
      </w:r>
      <w:bookmarkEnd w:id="10"/>
    </w:p>
    <w:p>
      <w:pPr>
        <w:rPr>
          <w:rFonts w:ascii="微软雅黑" w:hAnsi="微软雅黑"/>
          <w:sz w:val="21"/>
          <w:szCs w:val="21"/>
          <w:lang w:val="en-GB"/>
        </w:rPr>
      </w:pPr>
      <w:r>
        <w:rPr>
          <w:rFonts w:hint="eastAsia" w:ascii="微软雅黑" w:hAnsi="微软雅黑"/>
          <w:sz w:val="21"/>
          <w:szCs w:val="21"/>
          <w:lang w:val="en-GB"/>
        </w:rPr>
        <w:t>在操作中发现故障，请对照下表查明原因，如法排除。若仍有困难，请即就近与本公司的维修部门联系，切不可自行拆卸。</w:t>
      </w:r>
    </w:p>
    <w:p>
      <w:pPr>
        <w:rPr>
          <w:rFonts w:ascii="微软雅黑" w:hAnsi="微软雅黑"/>
          <w:sz w:val="21"/>
          <w:szCs w:val="21"/>
          <w:lang w:val="en-GB"/>
        </w:rPr>
      </w:pPr>
      <w:r>
        <w:rPr>
          <w:rFonts w:hint="eastAsia" w:ascii="微软雅黑" w:hAnsi="微软雅黑"/>
          <w:sz w:val="21"/>
          <w:szCs w:val="21"/>
          <w:lang w:val="en-GB"/>
        </w:rPr>
        <w:t>8.1数码部分</w:t>
      </w:r>
    </w:p>
    <w:tbl>
      <w:tblPr>
        <w:tblStyle w:val="8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29"/>
        <w:gridCol w:w="2168"/>
        <w:gridCol w:w="362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b/>
                <w:bCs/>
                <w:color w:val="000000"/>
                <w:sz w:val="21"/>
                <w:szCs w:val="21"/>
              </w:rPr>
              <w:t>故障现象</w:t>
            </w:r>
          </w:p>
        </w:tc>
        <w:tc>
          <w:tcPr>
            <w:tcW w:w="12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微软雅黑" w:hAnsi="微软雅黑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b/>
                <w:bCs/>
                <w:color w:val="000000"/>
                <w:sz w:val="21"/>
                <w:szCs w:val="21"/>
              </w:rPr>
              <w:t>可能的原因</w:t>
            </w:r>
          </w:p>
        </w:tc>
        <w:tc>
          <w:tcPr>
            <w:tcW w:w="212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微软雅黑" w:hAnsi="微软雅黑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b/>
                <w:bCs/>
                <w:color w:val="000000"/>
                <w:sz w:val="21"/>
                <w:szCs w:val="21"/>
              </w:rPr>
              <w:t>排除方法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1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1.黑屏</w:t>
            </w:r>
          </w:p>
        </w:tc>
        <w:tc>
          <w:tcPr>
            <w:tcW w:w="12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LED关闭</w:t>
            </w:r>
          </w:p>
        </w:tc>
        <w:tc>
          <w:tcPr>
            <w:tcW w:w="21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打开LED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1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</w:tc>
        <w:tc>
          <w:tcPr>
            <w:tcW w:w="12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电源适配器是否通电</w:t>
            </w:r>
          </w:p>
        </w:tc>
        <w:tc>
          <w:tcPr>
            <w:tcW w:w="21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检查电缆连接，查看适配器是否正常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1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2.图片模糊，看不清</w:t>
            </w:r>
          </w:p>
        </w:tc>
        <w:tc>
          <w:tcPr>
            <w:tcW w:w="12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镜头脏</w:t>
            </w:r>
          </w:p>
        </w:tc>
        <w:tc>
          <w:tcPr>
            <w:tcW w:w="21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用镜头纸清洁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1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</w:tc>
        <w:tc>
          <w:tcPr>
            <w:tcW w:w="12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聚焦不正确</w:t>
            </w:r>
          </w:p>
        </w:tc>
        <w:tc>
          <w:tcPr>
            <w:tcW w:w="21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调整聚焦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3.屏幕闪烁</w:t>
            </w:r>
          </w:p>
        </w:tc>
        <w:tc>
          <w:tcPr>
            <w:tcW w:w="12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电源输入不稳定</w:t>
            </w:r>
          </w:p>
        </w:tc>
        <w:tc>
          <w:tcPr>
            <w:tcW w:w="21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更换同参数电源适配器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1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4.显示屏亮度不够</w:t>
            </w:r>
          </w:p>
        </w:tc>
        <w:tc>
          <w:tcPr>
            <w:tcW w:w="12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电源输入参数不对</w:t>
            </w:r>
          </w:p>
        </w:tc>
        <w:tc>
          <w:tcPr>
            <w:tcW w:w="21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更换电源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1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</w:tc>
        <w:tc>
          <w:tcPr>
            <w:tcW w:w="12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LED光源亮度不够</w:t>
            </w:r>
          </w:p>
        </w:tc>
        <w:tc>
          <w:tcPr>
            <w:tcW w:w="21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调节亮度旋钮，增加亮度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1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</w:tc>
        <w:tc>
          <w:tcPr>
            <w:tcW w:w="12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曝光补偿过低</w:t>
            </w:r>
          </w:p>
        </w:tc>
        <w:tc>
          <w:tcPr>
            <w:tcW w:w="21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增加曝光补偿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0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5.按键操作失灵</w:t>
            </w:r>
          </w:p>
        </w:tc>
        <w:tc>
          <w:tcPr>
            <w:tcW w:w="12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偶然死机</w:t>
            </w:r>
          </w:p>
        </w:tc>
        <w:tc>
          <w:tcPr>
            <w:tcW w:w="21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重启仪器</w:t>
            </w:r>
          </w:p>
        </w:tc>
      </w:tr>
    </w:tbl>
    <w:p>
      <w:pPr>
        <w:rPr>
          <w:lang w:val="en-GB"/>
        </w:rPr>
      </w:pPr>
    </w:p>
    <w:p>
      <w:pPr>
        <w:rPr>
          <w:rFonts w:ascii="微软雅黑" w:hAnsi="微软雅黑"/>
          <w:sz w:val="21"/>
          <w:szCs w:val="21"/>
          <w:lang w:val="en-GB"/>
        </w:rPr>
      </w:pPr>
      <w:r>
        <w:rPr>
          <w:rFonts w:hint="eastAsia" w:ascii="微软雅黑" w:hAnsi="微软雅黑"/>
          <w:sz w:val="21"/>
          <w:szCs w:val="21"/>
          <w:lang w:val="en-GB"/>
        </w:rPr>
        <w:t>8.2光学部分</w:t>
      </w:r>
    </w:p>
    <w:tbl>
      <w:tblPr>
        <w:tblStyle w:val="8"/>
        <w:tblW w:w="5000" w:type="pct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7"/>
        <w:gridCol w:w="3226"/>
        <w:gridCol w:w="323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207" w:type="pct"/>
            <w:vAlign w:val="center"/>
          </w:tcPr>
          <w:p>
            <w:pPr>
              <w:jc w:val="center"/>
              <w:rPr>
                <w:rFonts w:ascii="微软雅黑" w:hAnsi="微软雅黑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b/>
                <w:bCs/>
                <w:color w:val="000000"/>
                <w:sz w:val="21"/>
                <w:szCs w:val="21"/>
              </w:rPr>
              <w:t>故障现象</w:t>
            </w:r>
          </w:p>
        </w:tc>
        <w:tc>
          <w:tcPr>
            <w:tcW w:w="1893" w:type="pct"/>
            <w:vAlign w:val="center"/>
          </w:tcPr>
          <w:p>
            <w:pPr>
              <w:jc w:val="center"/>
              <w:rPr>
                <w:rFonts w:ascii="微软雅黑" w:hAnsi="微软雅黑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b/>
                <w:bCs/>
                <w:color w:val="000000"/>
                <w:sz w:val="21"/>
                <w:szCs w:val="21"/>
              </w:rPr>
              <w:t>可能的原因</w:t>
            </w:r>
          </w:p>
        </w:tc>
        <w:tc>
          <w:tcPr>
            <w:tcW w:w="1900" w:type="pct"/>
            <w:vAlign w:val="center"/>
          </w:tcPr>
          <w:p>
            <w:pPr>
              <w:jc w:val="center"/>
              <w:rPr>
                <w:rFonts w:ascii="微软雅黑" w:hAnsi="微软雅黑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b/>
                <w:bCs/>
                <w:color w:val="000000"/>
                <w:sz w:val="21"/>
                <w:szCs w:val="21"/>
              </w:rPr>
              <w:t>排除方法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4" w:hRule="atLeast"/>
        </w:trPr>
        <w:tc>
          <w:tcPr>
            <w:tcW w:w="1207" w:type="pct"/>
            <w:vMerge w:val="restar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1.边缘黑暗或视场明暗不均匀</w:t>
            </w:r>
          </w:p>
        </w:tc>
        <w:tc>
          <w:tcPr>
            <w:tcW w:w="1893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转换器不在定位位置上（物镜不在光路中心）</w:t>
            </w:r>
          </w:p>
        </w:tc>
        <w:tc>
          <w:tcPr>
            <w:tcW w:w="1900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转到定位的位置（转动物镜使之正确进入光路）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5" w:hRule="atLeast"/>
        </w:trPr>
        <w:tc>
          <w:tcPr>
            <w:tcW w:w="1207" w:type="pct"/>
            <w:vMerge w:val="continue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</w:tc>
        <w:tc>
          <w:tcPr>
            <w:tcW w:w="1893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灯丝象不在中心</w:t>
            </w:r>
          </w:p>
        </w:tc>
        <w:tc>
          <w:tcPr>
            <w:tcW w:w="1900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使之对中心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2" w:hRule="atLeast"/>
        </w:trPr>
        <w:tc>
          <w:tcPr>
            <w:tcW w:w="1207" w:type="pct"/>
            <w:vMerge w:val="continue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</w:tc>
        <w:tc>
          <w:tcPr>
            <w:tcW w:w="1893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透镜上有脏物（指聚光镜、物镜、目镜、集光镜）</w:t>
            </w:r>
          </w:p>
        </w:tc>
        <w:tc>
          <w:tcPr>
            <w:tcW w:w="1900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擦干净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5" w:hRule="atLeast"/>
        </w:trPr>
        <w:tc>
          <w:tcPr>
            <w:tcW w:w="1207" w:type="pct"/>
            <w:vMerge w:val="restar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2.视场里有脏物</w:t>
            </w:r>
          </w:p>
        </w:tc>
        <w:tc>
          <w:tcPr>
            <w:tcW w:w="1893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透镜上有脏物（指聚光镜、物镜、目镜、集光镜）</w:t>
            </w:r>
          </w:p>
        </w:tc>
        <w:tc>
          <w:tcPr>
            <w:tcW w:w="1900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擦干净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" w:hRule="atLeast"/>
        </w:trPr>
        <w:tc>
          <w:tcPr>
            <w:tcW w:w="1207" w:type="pct"/>
            <w:vMerge w:val="continue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</w:tc>
        <w:tc>
          <w:tcPr>
            <w:tcW w:w="1893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玻片上有脏物</w:t>
            </w:r>
          </w:p>
        </w:tc>
        <w:tc>
          <w:tcPr>
            <w:tcW w:w="1900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擦干净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" w:hRule="atLeast"/>
        </w:trPr>
        <w:tc>
          <w:tcPr>
            <w:tcW w:w="1207" w:type="pct"/>
            <w:vMerge w:val="continue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</w:tc>
        <w:tc>
          <w:tcPr>
            <w:tcW w:w="1893" w:type="pct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聚光镜位置太低</w:t>
            </w:r>
          </w:p>
        </w:tc>
        <w:tc>
          <w:tcPr>
            <w:tcW w:w="1900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松开聚光镜固紧螺钉，调正聚光镜位置，重新拧紧螺钉。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" w:hRule="atLeast"/>
        </w:trPr>
        <w:tc>
          <w:tcPr>
            <w:tcW w:w="1207" w:type="pct"/>
            <w:vMerge w:val="restar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3.像质很差（分辩率低，对比度差）</w:t>
            </w:r>
          </w:p>
        </w:tc>
        <w:tc>
          <w:tcPr>
            <w:tcW w:w="1893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标本上没加盖玻片</w:t>
            </w:r>
          </w:p>
        </w:tc>
        <w:tc>
          <w:tcPr>
            <w:tcW w:w="1900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附加盖玻片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5" w:hRule="atLeast"/>
        </w:trPr>
        <w:tc>
          <w:tcPr>
            <w:tcW w:w="1207" w:type="pct"/>
            <w:vMerge w:val="continue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</w:tc>
        <w:tc>
          <w:tcPr>
            <w:tcW w:w="1893" w:type="pct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盖玻片过厚或太薄</w:t>
            </w:r>
          </w:p>
        </w:tc>
        <w:tc>
          <w:tcPr>
            <w:tcW w:w="1900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使用标准厚度（0.17</w:t>
            </w:r>
            <w:r>
              <w:rPr>
                <w:rFonts w:ascii="微软雅黑" w:hAnsi="微软雅黑" w:cs="宋体"/>
                <w:color w:val="000000"/>
                <w:sz w:val="21"/>
                <w:szCs w:val="21"/>
              </w:rPr>
              <w:t>mm</w:t>
            </w: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）的盖玻片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cantSplit/>
          <w:trHeight w:val="252" w:hRule="atLeast"/>
        </w:trPr>
        <w:tc>
          <w:tcPr>
            <w:tcW w:w="1207" w:type="pct"/>
            <w:vMerge w:val="continue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</w:tc>
        <w:tc>
          <w:tcPr>
            <w:tcW w:w="1893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标本上下面反了</w:t>
            </w:r>
          </w:p>
        </w:tc>
        <w:tc>
          <w:tcPr>
            <w:tcW w:w="1900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翻转回来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1207" w:type="pct"/>
            <w:vMerge w:val="continue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</w:tc>
        <w:tc>
          <w:tcPr>
            <w:tcW w:w="1893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干物镜上有浸油(特别是40X易有)</w:t>
            </w:r>
          </w:p>
        </w:tc>
        <w:tc>
          <w:tcPr>
            <w:tcW w:w="1900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擦干净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</w:trPr>
        <w:tc>
          <w:tcPr>
            <w:tcW w:w="1207" w:type="pct"/>
            <w:vMerge w:val="continue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</w:tc>
        <w:tc>
          <w:tcPr>
            <w:tcW w:w="1893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透镜上有脏物（指聚光镜、物镜、目镜、集光镜）</w:t>
            </w:r>
          </w:p>
        </w:tc>
        <w:tc>
          <w:tcPr>
            <w:tcW w:w="1900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擦干净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cantSplit/>
          <w:trHeight w:val="288" w:hRule="atLeast"/>
        </w:trPr>
        <w:tc>
          <w:tcPr>
            <w:tcW w:w="1207" w:type="pct"/>
            <w:vMerge w:val="continue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</w:tc>
        <w:tc>
          <w:tcPr>
            <w:tcW w:w="1893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油浸物镜没有浸油</w:t>
            </w:r>
          </w:p>
        </w:tc>
        <w:tc>
          <w:tcPr>
            <w:tcW w:w="1900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使用浸油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6" w:hRule="atLeast"/>
        </w:trPr>
        <w:tc>
          <w:tcPr>
            <w:tcW w:w="1207" w:type="pct"/>
            <w:vMerge w:val="continue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</w:tc>
        <w:tc>
          <w:tcPr>
            <w:tcW w:w="1893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油浸中有气泡</w:t>
            </w:r>
          </w:p>
        </w:tc>
        <w:tc>
          <w:tcPr>
            <w:tcW w:w="1900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消除气泡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" w:hRule="atLeast"/>
        </w:trPr>
        <w:tc>
          <w:tcPr>
            <w:tcW w:w="1207" w:type="pct"/>
            <w:vMerge w:val="continue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</w:tc>
        <w:tc>
          <w:tcPr>
            <w:tcW w:w="1893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用了非指定的浸油</w:t>
            </w:r>
          </w:p>
        </w:tc>
        <w:tc>
          <w:tcPr>
            <w:tcW w:w="1900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使用标准浸油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2" w:hRule="atLeast"/>
        </w:trPr>
        <w:tc>
          <w:tcPr>
            <w:tcW w:w="1207" w:type="pct"/>
            <w:vMerge w:val="continue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</w:tc>
        <w:tc>
          <w:tcPr>
            <w:tcW w:w="1893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孔径光阑开得过大</w:t>
            </w:r>
          </w:p>
        </w:tc>
        <w:tc>
          <w:tcPr>
            <w:tcW w:w="1900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适当关小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4" w:hRule="atLeast"/>
        </w:trPr>
        <w:tc>
          <w:tcPr>
            <w:tcW w:w="1207" w:type="pct"/>
            <w:vMerge w:val="continue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</w:tc>
        <w:tc>
          <w:tcPr>
            <w:tcW w:w="1893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在双目镜筒的入射透镜上有脏物</w:t>
            </w:r>
          </w:p>
        </w:tc>
        <w:tc>
          <w:tcPr>
            <w:tcW w:w="1900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擦干净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cantSplit/>
          <w:trHeight w:val="228" w:hRule="atLeast"/>
        </w:trPr>
        <w:tc>
          <w:tcPr>
            <w:tcW w:w="1207" w:type="pct"/>
            <w:vMerge w:val="continue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</w:tc>
        <w:tc>
          <w:tcPr>
            <w:tcW w:w="1893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孔径光阑开得过小</w:t>
            </w:r>
          </w:p>
        </w:tc>
        <w:tc>
          <w:tcPr>
            <w:tcW w:w="1900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适当开大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0" w:hRule="atLeast"/>
        </w:trPr>
        <w:tc>
          <w:tcPr>
            <w:tcW w:w="1207" w:type="pct"/>
            <w:vMerge w:val="continue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</w:tc>
        <w:tc>
          <w:tcPr>
            <w:tcW w:w="1893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聚光镜位置太低</w:t>
            </w:r>
          </w:p>
        </w:tc>
        <w:tc>
          <w:tcPr>
            <w:tcW w:w="1900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校正位置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1" w:hRule="atLeast"/>
        </w:trPr>
        <w:tc>
          <w:tcPr>
            <w:tcW w:w="1207" w:type="pct"/>
            <w:vMerge w:val="restar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4.图像某一侧发暗</w:t>
            </w:r>
          </w:p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</w:tc>
        <w:tc>
          <w:tcPr>
            <w:tcW w:w="1893" w:type="pct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聚光镜不在视场中心或聚光镜倾斜</w:t>
            </w:r>
          </w:p>
        </w:tc>
        <w:tc>
          <w:tcPr>
            <w:tcW w:w="1900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重新安装聚光镜并用聚光镜调中心螺钉仔细调节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" w:hRule="atLeast"/>
        </w:trPr>
        <w:tc>
          <w:tcPr>
            <w:tcW w:w="1207" w:type="pct"/>
            <w:vMerge w:val="continue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</w:tc>
        <w:tc>
          <w:tcPr>
            <w:tcW w:w="1893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转换器不在定位处</w:t>
            </w:r>
          </w:p>
        </w:tc>
        <w:tc>
          <w:tcPr>
            <w:tcW w:w="1900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转动，使之到位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8" w:hRule="atLeast"/>
        </w:trPr>
        <w:tc>
          <w:tcPr>
            <w:tcW w:w="1207" w:type="pct"/>
            <w:vMerge w:val="continue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</w:tc>
        <w:tc>
          <w:tcPr>
            <w:tcW w:w="1893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标本处于浮动状</w:t>
            </w:r>
          </w:p>
        </w:tc>
        <w:tc>
          <w:tcPr>
            <w:tcW w:w="1900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可靠地加固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cantSplit/>
          <w:trHeight w:val="264" w:hRule="atLeast"/>
        </w:trPr>
        <w:tc>
          <w:tcPr>
            <w:tcW w:w="1207" w:type="pct"/>
            <w:vMerge w:val="restar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5.照明亮度不够</w:t>
            </w:r>
          </w:p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</w:tc>
        <w:tc>
          <w:tcPr>
            <w:tcW w:w="1893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孔径光阑开得太小</w:t>
            </w:r>
          </w:p>
        </w:tc>
        <w:tc>
          <w:tcPr>
            <w:tcW w:w="1900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重新调节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2" w:hRule="atLeast"/>
        </w:trPr>
        <w:tc>
          <w:tcPr>
            <w:tcW w:w="1207" w:type="pct"/>
            <w:vMerge w:val="continue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</w:tc>
        <w:tc>
          <w:tcPr>
            <w:tcW w:w="1893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聚光镜位置太低</w:t>
            </w:r>
          </w:p>
        </w:tc>
        <w:tc>
          <w:tcPr>
            <w:tcW w:w="1900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纠正其位置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7" w:hRule="atLeast"/>
        </w:trPr>
        <w:tc>
          <w:tcPr>
            <w:tcW w:w="1207" w:type="pct"/>
            <w:vMerge w:val="continue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</w:tc>
        <w:tc>
          <w:tcPr>
            <w:tcW w:w="1893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透镜上有脏物（指聚光镜、物镜、目镜、集光镜）</w:t>
            </w:r>
          </w:p>
        </w:tc>
        <w:tc>
          <w:tcPr>
            <w:tcW w:w="1900" w:type="pct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擦干净</w:t>
            </w:r>
          </w:p>
        </w:tc>
      </w:tr>
    </w:tbl>
    <w:p>
      <w:pPr>
        <w:rPr>
          <w:rFonts w:ascii="宋体" w:hAnsi="宋体" w:eastAsia="宋体" w:cs="宋体"/>
          <w:color w:val="000000"/>
          <w:szCs w:val="21"/>
        </w:rPr>
      </w:pPr>
    </w:p>
    <w:p>
      <w:pPr>
        <w:rPr>
          <w:rFonts w:ascii="微软雅黑" w:hAnsi="微软雅黑"/>
          <w:sz w:val="21"/>
          <w:szCs w:val="21"/>
          <w:lang w:val="en-GB"/>
        </w:rPr>
      </w:pPr>
      <w:r>
        <w:rPr>
          <w:rFonts w:hint="eastAsia" w:ascii="微软雅黑" w:hAnsi="微软雅黑"/>
          <w:sz w:val="21"/>
          <w:szCs w:val="21"/>
          <w:lang w:val="en-GB"/>
        </w:rPr>
        <w:t>8.3机械部分</w:t>
      </w:r>
    </w:p>
    <w:tbl>
      <w:tblPr>
        <w:tblStyle w:val="8"/>
        <w:tblW w:w="5000" w:type="pct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7"/>
        <w:gridCol w:w="3409"/>
        <w:gridCol w:w="305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207" w:type="pct"/>
            <w:vAlign w:val="center"/>
          </w:tcPr>
          <w:p>
            <w:pPr>
              <w:jc w:val="center"/>
              <w:rPr>
                <w:rFonts w:ascii="微软雅黑" w:hAnsi="微软雅黑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b/>
                <w:bCs/>
                <w:color w:val="000000"/>
                <w:sz w:val="21"/>
                <w:szCs w:val="21"/>
              </w:rPr>
              <w:t>故障现象</w:t>
            </w:r>
          </w:p>
        </w:tc>
        <w:tc>
          <w:tcPr>
            <w:tcW w:w="2000" w:type="pct"/>
            <w:vAlign w:val="center"/>
          </w:tcPr>
          <w:p>
            <w:pPr>
              <w:jc w:val="center"/>
              <w:rPr>
                <w:rFonts w:ascii="微软雅黑" w:hAnsi="微软雅黑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b/>
                <w:bCs/>
                <w:color w:val="000000"/>
                <w:sz w:val="21"/>
                <w:szCs w:val="21"/>
              </w:rPr>
              <w:t>可能的原因</w:t>
            </w:r>
          </w:p>
        </w:tc>
        <w:tc>
          <w:tcPr>
            <w:tcW w:w="1793" w:type="pct"/>
            <w:vAlign w:val="center"/>
          </w:tcPr>
          <w:p>
            <w:pPr>
              <w:jc w:val="center"/>
              <w:rPr>
                <w:rFonts w:ascii="微软雅黑" w:hAnsi="微软雅黑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b/>
                <w:bCs/>
                <w:color w:val="000000"/>
                <w:sz w:val="21"/>
                <w:szCs w:val="21"/>
              </w:rPr>
              <w:t>排除方法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1207" w:type="pct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1.用高倍物镜图</w:t>
            </w:r>
          </w:p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2.不能聚焦</w:t>
            </w:r>
          </w:p>
        </w:tc>
        <w:tc>
          <w:tcPr>
            <w:tcW w:w="2000" w:type="pct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玻片放反了</w:t>
            </w:r>
          </w:p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盖玻片太厚</w:t>
            </w:r>
          </w:p>
        </w:tc>
        <w:tc>
          <w:tcPr>
            <w:tcW w:w="1793" w:type="pct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翻转玻片</w:t>
            </w:r>
          </w:p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 xml:space="preserve">用标准厚度的盖玻片（0.17 </w:t>
            </w:r>
            <w:r>
              <w:rPr>
                <w:rFonts w:ascii="微软雅黑" w:hAnsi="微软雅黑" w:cs="宋体"/>
                <w:color w:val="000000"/>
                <w:sz w:val="21"/>
                <w:szCs w:val="21"/>
              </w:rPr>
              <w:t>mm）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6" w:hRule="atLeast"/>
        </w:trPr>
        <w:tc>
          <w:tcPr>
            <w:tcW w:w="1207" w:type="pct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3.当物镜从低倍向高倍转换时接触到玻片</w:t>
            </w:r>
          </w:p>
        </w:tc>
        <w:tc>
          <w:tcPr>
            <w:tcW w:w="2000" w:type="pct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玻片放反了</w:t>
            </w:r>
          </w:p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盖玻片太厚</w:t>
            </w:r>
          </w:p>
        </w:tc>
        <w:tc>
          <w:tcPr>
            <w:tcW w:w="1793" w:type="pct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翻转玻片</w:t>
            </w:r>
          </w:p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 xml:space="preserve">用标准厚度的盖玻片（0.17 </w:t>
            </w:r>
            <w:r>
              <w:rPr>
                <w:rFonts w:ascii="微软雅黑" w:hAnsi="微软雅黑" w:cs="宋体"/>
                <w:color w:val="000000"/>
                <w:sz w:val="21"/>
                <w:szCs w:val="21"/>
              </w:rPr>
              <w:t>mm）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5" w:hRule="atLeast"/>
        </w:trPr>
        <w:tc>
          <w:tcPr>
            <w:tcW w:w="1207" w:type="pct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4.标本移动不流畅</w:t>
            </w:r>
          </w:p>
        </w:tc>
        <w:tc>
          <w:tcPr>
            <w:tcW w:w="2000" w:type="pct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玻片夹持器未可靠地紧固</w:t>
            </w:r>
          </w:p>
        </w:tc>
        <w:tc>
          <w:tcPr>
            <w:tcW w:w="1793" w:type="pct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确实固紧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8" w:hRule="atLeast"/>
        </w:trPr>
        <w:tc>
          <w:tcPr>
            <w:tcW w:w="1207" w:type="pct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5.双目图像不重合</w:t>
            </w:r>
          </w:p>
        </w:tc>
        <w:tc>
          <w:tcPr>
            <w:tcW w:w="2000" w:type="pct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瞳距没有调节正确</w:t>
            </w:r>
          </w:p>
        </w:tc>
        <w:tc>
          <w:tcPr>
            <w:tcW w:w="1793" w:type="pct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重新调节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4" w:hRule="atLeast"/>
        </w:trPr>
        <w:tc>
          <w:tcPr>
            <w:tcW w:w="1207" w:type="pct"/>
            <w:vMerge w:val="restart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6.眼睛过度疲劳</w:t>
            </w:r>
          </w:p>
        </w:tc>
        <w:tc>
          <w:tcPr>
            <w:tcW w:w="2000" w:type="pct"/>
            <w:tcBorders>
              <w:bottom w:val="single" w:color="auto" w:sz="2" w:space="0"/>
            </w:tcBorders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没有进行视度调节</w:t>
            </w:r>
          </w:p>
        </w:tc>
        <w:tc>
          <w:tcPr>
            <w:tcW w:w="1793" w:type="pct"/>
            <w:tcBorders>
              <w:bottom w:val="single" w:color="auto" w:sz="2" w:space="0"/>
            </w:tcBorders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正确调节视度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atLeast"/>
        </w:trPr>
        <w:tc>
          <w:tcPr>
            <w:tcW w:w="1207" w:type="pct"/>
            <w:vMerge w:val="continue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</w:tc>
        <w:tc>
          <w:tcPr>
            <w:tcW w:w="2000" w:type="pct"/>
            <w:tcBorders>
              <w:top w:val="single" w:color="auto" w:sz="2" w:space="0"/>
            </w:tcBorders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照明亮度不合适</w:t>
            </w:r>
          </w:p>
        </w:tc>
        <w:tc>
          <w:tcPr>
            <w:tcW w:w="1793" w:type="pct"/>
            <w:tcBorders>
              <w:top w:val="single" w:color="auto" w:sz="2" w:space="0"/>
            </w:tcBorders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调正灯泡电压</w:t>
            </w:r>
          </w:p>
        </w:tc>
      </w:tr>
    </w:tbl>
    <w:p>
      <w:pPr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 xml:space="preserve">    </w:t>
      </w:r>
    </w:p>
    <w:p>
      <w:pPr>
        <w:rPr>
          <w:rFonts w:ascii="微软雅黑" w:hAnsi="微软雅黑" w:cs="宋体"/>
          <w:color w:val="000000"/>
          <w:sz w:val="21"/>
          <w:szCs w:val="21"/>
        </w:rPr>
      </w:pPr>
      <w:r>
        <w:rPr>
          <w:rFonts w:hint="eastAsia" w:ascii="微软雅黑" w:hAnsi="微软雅黑" w:cs="宋体"/>
          <w:color w:val="000000"/>
          <w:sz w:val="21"/>
          <w:szCs w:val="21"/>
        </w:rPr>
        <w:t>8.4电气部分</w:t>
      </w:r>
    </w:p>
    <w:tbl>
      <w:tblPr>
        <w:tblStyle w:val="8"/>
        <w:tblW w:w="5000" w:type="pct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7"/>
        <w:gridCol w:w="3409"/>
        <w:gridCol w:w="305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207" w:type="pct"/>
            <w:vAlign w:val="center"/>
          </w:tcPr>
          <w:p>
            <w:pPr>
              <w:jc w:val="center"/>
              <w:rPr>
                <w:rFonts w:ascii="微软雅黑" w:hAnsi="微软雅黑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b/>
                <w:bCs/>
                <w:color w:val="000000"/>
                <w:sz w:val="21"/>
                <w:szCs w:val="21"/>
              </w:rPr>
              <w:t>故障现象</w:t>
            </w:r>
          </w:p>
        </w:tc>
        <w:tc>
          <w:tcPr>
            <w:tcW w:w="2000" w:type="pct"/>
            <w:vAlign w:val="center"/>
          </w:tcPr>
          <w:p>
            <w:pPr>
              <w:jc w:val="center"/>
              <w:rPr>
                <w:rFonts w:ascii="微软雅黑" w:hAnsi="微软雅黑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b/>
                <w:bCs/>
                <w:color w:val="000000"/>
                <w:sz w:val="21"/>
                <w:szCs w:val="21"/>
              </w:rPr>
              <w:t>可能的原因</w:t>
            </w:r>
          </w:p>
        </w:tc>
        <w:tc>
          <w:tcPr>
            <w:tcW w:w="1793" w:type="pct"/>
            <w:vAlign w:val="center"/>
          </w:tcPr>
          <w:p>
            <w:pPr>
              <w:jc w:val="center"/>
              <w:rPr>
                <w:rFonts w:ascii="微软雅黑" w:hAnsi="微软雅黑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b/>
                <w:bCs/>
                <w:color w:val="000000"/>
                <w:sz w:val="21"/>
                <w:szCs w:val="21"/>
              </w:rPr>
              <w:t>排除方法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2" w:hRule="atLeast"/>
        </w:trPr>
        <w:tc>
          <w:tcPr>
            <w:tcW w:w="1207" w:type="pct"/>
            <w:vMerge w:val="restart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1.开关接通时灯泡不亮</w:t>
            </w:r>
          </w:p>
        </w:tc>
        <w:tc>
          <w:tcPr>
            <w:tcW w:w="2000" w:type="pct"/>
            <w:tcBorders>
              <w:bottom w:val="single" w:color="auto" w:sz="2" w:space="0"/>
            </w:tcBorders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无电源</w:t>
            </w:r>
          </w:p>
        </w:tc>
        <w:tc>
          <w:tcPr>
            <w:tcW w:w="1793" w:type="pct"/>
            <w:tcBorders>
              <w:bottom w:val="single" w:color="auto" w:sz="2" w:space="0"/>
            </w:tcBorders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检查电线的连接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</w:trPr>
        <w:tc>
          <w:tcPr>
            <w:tcW w:w="1207" w:type="pct"/>
            <w:vMerge w:val="continue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</w:tc>
        <w:tc>
          <w:tcPr>
            <w:tcW w:w="2000" w:type="pct"/>
            <w:tcBorders>
              <w:top w:val="single" w:color="auto" w:sz="2" w:space="0"/>
              <w:bottom w:val="single" w:color="auto" w:sz="2" w:space="0"/>
            </w:tcBorders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光源连接线脱开</w:t>
            </w:r>
          </w:p>
        </w:tc>
        <w:tc>
          <w:tcPr>
            <w:tcW w:w="1793" w:type="pct"/>
            <w:tcBorders>
              <w:top w:val="single" w:color="auto" w:sz="2" w:space="0"/>
              <w:bottom w:val="single" w:color="auto" w:sz="2" w:space="0"/>
            </w:tcBorders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正确地插入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8" w:hRule="atLeast"/>
        </w:trPr>
        <w:tc>
          <w:tcPr>
            <w:tcW w:w="1207" w:type="pct"/>
            <w:vMerge w:val="continue"/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</w:p>
        </w:tc>
        <w:tc>
          <w:tcPr>
            <w:tcW w:w="2000" w:type="pct"/>
            <w:tcBorders>
              <w:top w:val="single" w:color="auto" w:sz="2" w:space="0"/>
            </w:tcBorders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光源损坏</w:t>
            </w:r>
          </w:p>
        </w:tc>
        <w:tc>
          <w:tcPr>
            <w:tcW w:w="1793" w:type="pct"/>
            <w:tcBorders>
              <w:top w:val="single" w:color="auto" w:sz="2" w:space="0"/>
            </w:tcBorders>
            <w:vAlign w:val="center"/>
          </w:tcPr>
          <w:p>
            <w:pPr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更换</w:t>
            </w:r>
          </w:p>
        </w:tc>
      </w:tr>
    </w:tbl>
    <w:p>
      <w:pPr>
        <w:rPr>
          <w:rFonts w:ascii="宋体" w:hAnsi="宋体" w:eastAsia="宋体" w:cs="宋体"/>
          <w:color w:val="000000"/>
          <w:szCs w:val="21"/>
        </w:rPr>
      </w:pPr>
    </w:p>
    <w:p>
      <w:pPr>
        <w:pStyle w:val="6"/>
        <w:rPr>
          <w:rStyle w:val="14"/>
          <w:rFonts w:ascii="微软雅黑" w:hAnsi="微软雅黑" w:eastAsia="微软雅黑"/>
          <w:b/>
          <w:bCs w:val="0"/>
          <w:sz w:val="24"/>
          <w:szCs w:val="24"/>
        </w:rPr>
      </w:pPr>
      <w:bookmarkStart w:id="11" w:name="_Toc509311772"/>
      <w:bookmarkStart w:id="12" w:name="_Toc65657309"/>
      <w:r>
        <w:rPr>
          <w:rStyle w:val="14"/>
          <w:rFonts w:hint="eastAsia" w:ascii="微软雅黑" w:hAnsi="微软雅黑" w:eastAsia="微软雅黑"/>
          <w:b/>
          <w:bCs w:val="0"/>
          <w:sz w:val="24"/>
          <w:szCs w:val="24"/>
        </w:rPr>
        <w:t>9、免责声明</w:t>
      </w:r>
      <w:bookmarkEnd w:id="11"/>
      <w:bookmarkEnd w:id="12"/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9.1对于不正当地使用本产品所造成的伤害或其他损害，本产品的制造商及销售商不承担任何责任。</w:t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9.2本说明书内的内容系根据现行制品的规格所制定，若后续产品因技术改进发生变更，制造商及销售商不承担随时更新本文件内容责任。</w:t>
      </w:r>
    </w:p>
    <w:p/>
    <w:p>
      <w:pPr>
        <w:jc w:val="right"/>
        <w:rPr>
          <w:rFonts w:hint="default" w:eastAsia="微软雅黑"/>
          <w:b/>
          <w:sz w:val="18"/>
          <w:szCs w:val="18"/>
          <w:lang w:val="en-US" w:eastAsia="zh-CN"/>
        </w:rPr>
      </w:pPr>
      <w:r>
        <w:rPr>
          <w:rFonts w:hint="eastAsia"/>
          <w:b/>
          <w:sz w:val="18"/>
          <w:szCs w:val="18"/>
          <w:lang w:val="en-US" w:eastAsia="zh-CN"/>
        </w:rPr>
        <w:t>深圳市三智眼光学仪器有限公司</w:t>
      </w:r>
    </w:p>
    <w:sectPr>
      <w:footerReference r:id="rId5" w:type="default"/>
      <w:pgSz w:w="11906" w:h="16838"/>
      <w:pgMar w:top="1440" w:right="1800" w:bottom="1440" w:left="1800" w:header="708" w:footer="708" w:gutter="0"/>
      <w:pgNumType w:start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533284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15</w:t>
        </w:r>
        <w:r>
          <w:rPr>
            <w:lang w:val="zh-CN"/>
          </w:rPr>
          <w:fldChar w:fldCharType="end"/>
        </w:r>
      </w:p>
    </w:sdtContent>
  </w:sdt>
  <w:p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63591F"/>
    <w:multiLevelType w:val="multilevel"/>
    <w:tmpl w:val="0163591F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02E64DAE"/>
    <w:multiLevelType w:val="multilevel"/>
    <w:tmpl w:val="02E64DAE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0A5B68B6"/>
    <w:multiLevelType w:val="multilevel"/>
    <w:tmpl w:val="0A5B68B6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bullet"/>
      <w:lvlText w:val="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"/>
      <w:lvlJc w:val="left"/>
      <w:pPr>
        <w:tabs>
          <w:tab w:val="left" w:pos="1200"/>
        </w:tabs>
        <w:ind w:left="1200" w:hanging="360"/>
      </w:pPr>
      <w:rPr>
        <w:rFonts w:hint="default" w:ascii="Wingdings" w:hAnsi="Wingdings" w:eastAsia="宋体" w:cs="Times New Roman"/>
        <w:sz w:val="21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17FE32A9"/>
    <w:multiLevelType w:val="multilevel"/>
    <w:tmpl w:val="17FE32A9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5F341E6A"/>
    <w:multiLevelType w:val="multilevel"/>
    <w:tmpl w:val="5F341E6A"/>
    <w:lvl w:ilvl="0" w:tentative="0">
      <w:start w:val="14"/>
      <w:numFmt w:val="bullet"/>
      <w:lvlText w:val=""/>
      <w:lvlJc w:val="left"/>
      <w:pPr>
        <w:tabs>
          <w:tab w:val="left" w:pos="360"/>
        </w:tabs>
        <w:ind w:left="360" w:hanging="360"/>
      </w:pPr>
      <w:rPr>
        <w:rFonts w:hint="default" w:ascii="Wingdings" w:hAnsi="Wingdings" w:eastAsia="宋体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5">
    <w:nsid w:val="68A31007"/>
    <w:multiLevelType w:val="multilevel"/>
    <w:tmpl w:val="68A31007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>
    <w:nsid w:val="6C530359"/>
    <w:multiLevelType w:val="multilevel"/>
    <w:tmpl w:val="6C530359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7">
    <w:nsid w:val="7D9B7532"/>
    <w:multiLevelType w:val="multilevel"/>
    <w:tmpl w:val="7D9B7532"/>
    <w:lvl w:ilvl="0" w:tentative="0">
      <w:start w:val="1"/>
      <w:numFmt w:val="bullet"/>
      <w:lvlText w:val="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8">
    <w:nsid w:val="7F2B5614"/>
    <w:multiLevelType w:val="multilevel"/>
    <w:tmpl w:val="7F2B5614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1"/>
  </w:num>
  <w:num w:numId="5">
    <w:abstractNumId w:val="8"/>
  </w:num>
  <w:num w:numId="6">
    <w:abstractNumId w:val="0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C6013"/>
    <w:rsid w:val="000E7A41"/>
    <w:rsid w:val="001565CE"/>
    <w:rsid w:val="00267F83"/>
    <w:rsid w:val="00287C71"/>
    <w:rsid w:val="0029646C"/>
    <w:rsid w:val="002F075F"/>
    <w:rsid w:val="00323B43"/>
    <w:rsid w:val="00333BF4"/>
    <w:rsid w:val="00341461"/>
    <w:rsid w:val="003D37D8"/>
    <w:rsid w:val="00426133"/>
    <w:rsid w:val="004358AB"/>
    <w:rsid w:val="00513C4A"/>
    <w:rsid w:val="00582034"/>
    <w:rsid w:val="005A5B15"/>
    <w:rsid w:val="00621265"/>
    <w:rsid w:val="006F384F"/>
    <w:rsid w:val="00722B7D"/>
    <w:rsid w:val="00776400"/>
    <w:rsid w:val="00791890"/>
    <w:rsid w:val="007A24FB"/>
    <w:rsid w:val="00836102"/>
    <w:rsid w:val="008B7726"/>
    <w:rsid w:val="00976512"/>
    <w:rsid w:val="009A1572"/>
    <w:rsid w:val="009A2BC9"/>
    <w:rsid w:val="00A17F77"/>
    <w:rsid w:val="00A56D4E"/>
    <w:rsid w:val="00A668EC"/>
    <w:rsid w:val="00A71810"/>
    <w:rsid w:val="00AE6537"/>
    <w:rsid w:val="00C529B9"/>
    <w:rsid w:val="00C54059"/>
    <w:rsid w:val="00C5757C"/>
    <w:rsid w:val="00C8491B"/>
    <w:rsid w:val="00D31D50"/>
    <w:rsid w:val="00D56318"/>
    <w:rsid w:val="00DC373A"/>
    <w:rsid w:val="00E70CD0"/>
    <w:rsid w:val="00EB2577"/>
    <w:rsid w:val="00EF15D7"/>
    <w:rsid w:val="00F172EC"/>
    <w:rsid w:val="00F73092"/>
    <w:rsid w:val="00F7515D"/>
    <w:rsid w:val="00FA44AB"/>
    <w:rsid w:val="00FC7A13"/>
    <w:rsid w:val="03563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1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5"/>
    <w:qFormat/>
    <w:uiPriority w:val="11"/>
    <w:pPr>
      <w:widowControl w:val="0"/>
      <w:adjustRightInd/>
      <w:snapToGrid/>
      <w:spacing w:before="240" w:after="60" w:line="312" w:lineRule="auto"/>
      <w:outlineLvl w:val="1"/>
    </w:pPr>
    <w:rPr>
      <w:rFonts w:eastAsia="宋体" w:asciiTheme="majorHAnsi" w:hAnsiTheme="majorHAnsi" w:cstheme="majorBidi"/>
      <w:b/>
      <w:bCs/>
      <w:kern w:val="28"/>
      <w:sz w:val="21"/>
      <w:szCs w:val="32"/>
    </w:rPr>
  </w:style>
  <w:style w:type="paragraph" w:styleId="7">
    <w:name w:val="toc 2"/>
    <w:basedOn w:val="1"/>
    <w:next w:val="1"/>
    <w:unhideWhenUsed/>
    <w:uiPriority w:val="39"/>
    <w:pPr>
      <w:ind w:left="420" w:leftChars="200"/>
    </w:pPr>
  </w:style>
  <w:style w:type="character" w:styleId="10">
    <w:name w:val="Hyperlink"/>
    <w:basedOn w:val="9"/>
    <w:unhideWhenUsed/>
    <w:uiPriority w:val="99"/>
    <w:rPr>
      <w:color w:val="0000FF" w:themeColor="hyperlink"/>
      <w:u w:val="single"/>
    </w:rPr>
  </w:style>
  <w:style w:type="character" w:customStyle="1" w:styleId="11">
    <w:name w:val="页眉 Char"/>
    <w:basedOn w:val="9"/>
    <w:link w:val="5"/>
    <w:semiHidden/>
    <w:uiPriority w:val="99"/>
    <w:rPr>
      <w:rFonts w:ascii="Tahoma" w:hAnsi="Tahoma"/>
      <w:sz w:val="18"/>
      <w:szCs w:val="18"/>
    </w:rPr>
  </w:style>
  <w:style w:type="character" w:customStyle="1" w:styleId="12">
    <w:name w:val="页脚 Char"/>
    <w:basedOn w:val="9"/>
    <w:link w:val="4"/>
    <w:uiPriority w:val="99"/>
    <w:rPr>
      <w:rFonts w:ascii="Tahoma" w:hAnsi="Tahoma"/>
      <w:sz w:val="18"/>
      <w:szCs w:val="18"/>
    </w:rPr>
  </w:style>
  <w:style w:type="character" w:customStyle="1" w:styleId="13">
    <w:name w:val="批注框文本 Char"/>
    <w:basedOn w:val="9"/>
    <w:link w:val="3"/>
    <w:semiHidden/>
    <w:uiPriority w:val="99"/>
    <w:rPr>
      <w:rFonts w:ascii="Tahoma" w:hAnsi="Tahoma"/>
      <w:sz w:val="18"/>
      <w:szCs w:val="18"/>
    </w:rPr>
  </w:style>
  <w:style w:type="character" w:customStyle="1" w:styleId="14">
    <w:name w:val="Book Title"/>
    <w:basedOn w:val="9"/>
    <w:qFormat/>
    <w:uiPriority w:val="33"/>
    <w:rPr>
      <w:b/>
      <w:bCs/>
      <w:smallCaps/>
      <w:spacing w:val="5"/>
    </w:rPr>
  </w:style>
  <w:style w:type="character" w:customStyle="1" w:styleId="15">
    <w:name w:val="副标题 Char"/>
    <w:basedOn w:val="9"/>
    <w:link w:val="6"/>
    <w:uiPriority w:val="11"/>
    <w:rPr>
      <w:rFonts w:eastAsia="宋体" w:asciiTheme="majorHAnsi" w:hAnsiTheme="majorHAnsi" w:cstheme="majorBidi"/>
      <w:b/>
      <w:bCs/>
      <w:kern w:val="28"/>
      <w:sz w:val="21"/>
      <w:szCs w:val="32"/>
    </w:rPr>
  </w:style>
  <w:style w:type="paragraph" w:styleId="16">
    <w:name w:val="No Spacing"/>
    <w:qFormat/>
    <w:uiPriority w:val="1"/>
    <w:pPr>
      <w:adjustRightInd w:val="0"/>
      <w:snapToGrid w:val="0"/>
      <w:spacing w:after="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customStyle="1" w:styleId="17">
    <w:name w:val="标题 1 Char"/>
    <w:basedOn w:val="9"/>
    <w:link w:val="2"/>
    <w:uiPriority w:val="9"/>
    <w:rPr>
      <w:rFonts w:ascii="Tahoma" w:hAnsi="Tahoma"/>
      <w:b/>
      <w:bCs/>
      <w:kern w:val="44"/>
      <w:sz w:val="44"/>
      <w:szCs w:val="44"/>
    </w:rPr>
  </w:style>
  <w:style w:type="paragraph" w:customStyle="1" w:styleId="18">
    <w:name w:val="TOC Heading"/>
    <w:basedOn w:val="2"/>
    <w:next w:val="1"/>
    <w:semiHidden/>
    <w:unhideWhenUsed/>
    <w:qFormat/>
    <w:uiPriority w:val="39"/>
    <w:pPr>
      <w:adjustRightInd/>
      <w:snapToGrid/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9" Type="http://schemas.openxmlformats.org/officeDocument/2006/relationships/fontTable" Target="fontTable.xml"/><Relationship Id="rId48" Type="http://schemas.openxmlformats.org/officeDocument/2006/relationships/customXml" Target="../customXml/item2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jpe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emf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4738B39-3E41-4F49-9F23-FCDADD4DA52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769</Words>
  <Characters>4385</Characters>
  <Lines>36</Lines>
  <Paragraphs>10</Paragraphs>
  <TotalTime>368</TotalTime>
  <ScaleCrop>false</ScaleCrop>
  <LinksUpToDate>false</LinksUpToDate>
  <CharactersWithSpaces>5144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沉默是金</cp:lastModifiedBy>
  <dcterms:modified xsi:type="dcterms:W3CDTF">2021-11-16T06:09:37Z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FDE64D2DF9444BE08BB8382558A454F9</vt:lpwstr>
  </property>
</Properties>
</file>